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1D" w:rsidRPr="00D711E2" w:rsidRDefault="00462A1D" w:rsidP="00462A1D">
      <w:pPr>
        <w:pBdr>
          <w:bottom w:val="single" w:sz="6" w:space="1" w:color="auto"/>
        </w:pBdr>
        <w:rPr>
          <w:b/>
          <w:sz w:val="36"/>
          <w:szCs w:val="36"/>
          <w:lang w:val="en-GB"/>
        </w:rPr>
      </w:pPr>
      <w:bookmarkStart w:id="0" w:name="_GoBack"/>
      <w:bookmarkEnd w:id="0"/>
      <w:r w:rsidRPr="00D711E2">
        <w:rPr>
          <w:b/>
          <w:sz w:val="36"/>
          <w:szCs w:val="36"/>
          <w:lang w:val="en-GB"/>
        </w:rPr>
        <w:t xml:space="preserve">Dutch Association of Covered Bond issuers – DACB </w:t>
      </w:r>
    </w:p>
    <w:p w:rsidR="00462A1D" w:rsidRPr="003D6CA8" w:rsidRDefault="00462A1D" w:rsidP="00462A1D">
      <w:pPr>
        <w:pBdr>
          <w:bottom w:val="single" w:sz="6" w:space="1" w:color="auto"/>
        </w:pBdr>
        <w:rPr>
          <w:lang w:val="en-GB"/>
        </w:rPr>
      </w:pPr>
    </w:p>
    <w:p w:rsidR="00462A1D" w:rsidRDefault="00462A1D" w:rsidP="00462A1D">
      <w:pPr>
        <w:rPr>
          <w:lang w:val="en-GB"/>
        </w:rPr>
      </w:pPr>
    </w:p>
    <w:p w:rsidR="00462A1D" w:rsidRPr="0039689F" w:rsidRDefault="0039689F" w:rsidP="00462A1D">
      <w:pPr>
        <w:ind w:left="1410" w:hanging="1410"/>
        <w:rPr>
          <w:lang w:val="en-GB"/>
        </w:rPr>
      </w:pPr>
      <w:r w:rsidRPr="0039689F">
        <w:rPr>
          <w:lang w:val="en-GB"/>
        </w:rPr>
        <w:t>To</w:t>
      </w:r>
      <w:r w:rsidR="00462A1D" w:rsidRPr="0039689F">
        <w:rPr>
          <w:lang w:val="en-GB"/>
        </w:rPr>
        <w:tab/>
      </w:r>
      <w:r w:rsidR="00207F31">
        <w:rPr>
          <w:lang w:val="en-GB"/>
        </w:rPr>
        <w:t>Investors and other market</w:t>
      </w:r>
      <w:r w:rsidR="004611F1">
        <w:rPr>
          <w:lang w:val="en-GB"/>
        </w:rPr>
        <w:t xml:space="preserve"> </w:t>
      </w:r>
      <w:r w:rsidR="00207F31">
        <w:rPr>
          <w:lang w:val="en-GB"/>
        </w:rPr>
        <w:t>pa</w:t>
      </w:r>
      <w:r w:rsidR="00EA40A7">
        <w:rPr>
          <w:lang w:val="en-GB"/>
        </w:rPr>
        <w:t>rticipants interested in Dutch covered b</w:t>
      </w:r>
      <w:r w:rsidR="00207F31">
        <w:rPr>
          <w:lang w:val="en-GB"/>
        </w:rPr>
        <w:t>onds</w:t>
      </w:r>
    </w:p>
    <w:p w:rsidR="00A1097B" w:rsidRPr="0039689F" w:rsidRDefault="0039689F" w:rsidP="00462A1D">
      <w:pPr>
        <w:rPr>
          <w:lang w:val="en-GB"/>
        </w:rPr>
      </w:pPr>
      <w:r w:rsidRPr="0039689F">
        <w:rPr>
          <w:lang w:val="en-GB"/>
        </w:rPr>
        <w:t xml:space="preserve">From </w:t>
      </w:r>
      <w:r w:rsidR="00207F31">
        <w:rPr>
          <w:lang w:val="en-GB"/>
        </w:rPr>
        <w:tab/>
      </w:r>
      <w:r w:rsidR="00207F31">
        <w:rPr>
          <w:lang w:val="en-GB"/>
        </w:rPr>
        <w:tab/>
        <w:t>The Dutch Association of Covered Bond issuers</w:t>
      </w:r>
      <w:r w:rsidR="00EA40A7">
        <w:rPr>
          <w:lang w:val="en-GB"/>
        </w:rPr>
        <w:t xml:space="preserve"> (DACB)</w:t>
      </w:r>
    </w:p>
    <w:p w:rsidR="00462A1D" w:rsidRPr="0039689F" w:rsidRDefault="0039689F" w:rsidP="00462A1D">
      <w:pPr>
        <w:rPr>
          <w:lang w:val="en-GB"/>
        </w:rPr>
      </w:pPr>
      <w:r w:rsidRPr="0039689F">
        <w:rPr>
          <w:lang w:val="en-GB"/>
        </w:rPr>
        <w:t>Date</w:t>
      </w:r>
      <w:r w:rsidR="000B7EAE">
        <w:rPr>
          <w:lang w:val="en-GB"/>
        </w:rPr>
        <w:tab/>
      </w:r>
      <w:r w:rsidR="000B7EAE">
        <w:rPr>
          <w:lang w:val="en-GB"/>
        </w:rPr>
        <w:tab/>
        <w:t xml:space="preserve">11 </w:t>
      </w:r>
      <w:proofErr w:type="spellStart"/>
      <w:r w:rsidR="000B7EAE">
        <w:rPr>
          <w:lang w:val="en-GB"/>
        </w:rPr>
        <w:t>maart</w:t>
      </w:r>
      <w:proofErr w:type="spellEnd"/>
      <w:r w:rsidR="007619B6">
        <w:rPr>
          <w:lang w:val="en-GB"/>
        </w:rPr>
        <w:t xml:space="preserve"> 2015</w:t>
      </w:r>
    </w:p>
    <w:p w:rsidR="00462A1D" w:rsidRPr="0039689F" w:rsidRDefault="00462A1D" w:rsidP="00462A1D">
      <w:pPr>
        <w:rPr>
          <w:lang w:val="en-GB"/>
        </w:rPr>
      </w:pPr>
    </w:p>
    <w:p w:rsidR="00462A1D" w:rsidRPr="0039689F" w:rsidRDefault="0039689F" w:rsidP="00462A1D">
      <w:pPr>
        <w:pBdr>
          <w:bottom w:val="single" w:sz="6" w:space="1" w:color="auto"/>
        </w:pBdr>
        <w:rPr>
          <w:lang w:val="en-GB"/>
        </w:rPr>
      </w:pPr>
      <w:r w:rsidRPr="0039689F">
        <w:rPr>
          <w:lang w:val="en-GB"/>
        </w:rPr>
        <w:t>Subject</w:t>
      </w:r>
      <w:r w:rsidR="00C13A76" w:rsidRPr="0039689F">
        <w:rPr>
          <w:lang w:val="en-GB"/>
        </w:rPr>
        <w:tab/>
      </w:r>
      <w:r w:rsidR="00C13A76" w:rsidRPr="0039689F">
        <w:rPr>
          <w:lang w:val="en-GB"/>
        </w:rPr>
        <w:tab/>
      </w:r>
      <w:r>
        <w:rPr>
          <w:lang w:val="en-GB"/>
        </w:rPr>
        <w:t xml:space="preserve">Dutch covered bonds: EBA compliant </w:t>
      </w:r>
    </w:p>
    <w:p w:rsidR="0039689F" w:rsidRPr="00207F31" w:rsidRDefault="0039689F" w:rsidP="0039689F">
      <w:pPr>
        <w:rPr>
          <w:rFonts w:cs="Times New Roman"/>
          <w:sz w:val="24"/>
          <w:szCs w:val="24"/>
          <w:lang w:val="en-GB"/>
        </w:rPr>
      </w:pPr>
    </w:p>
    <w:p w:rsidR="0039689F" w:rsidRPr="00D83B4E" w:rsidRDefault="0039689F" w:rsidP="0039689F">
      <w:pPr>
        <w:pStyle w:val="Lijstalinea"/>
        <w:numPr>
          <w:ilvl w:val="0"/>
          <w:numId w:val="7"/>
        </w:numPr>
        <w:rPr>
          <w:rFonts w:cs="Times New Roman"/>
          <w:b/>
          <w:sz w:val="28"/>
          <w:szCs w:val="26"/>
          <w:lang w:val="en-GB"/>
        </w:rPr>
      </w:pPr>
      <w:r w:rsidRPr="00D83B4E">
        <w:rPr>
          <w:rFonts w:cs="Times New Roman"/>
          <w:b/>
          <w:sz w:val="28"/>
          <w:szCs w:val="26"/>
          <w:lang w:val="en-GB"/>
        </w:rPr>
        <w:t>Introduction</w:t>
      </w:r>
    </w:p>
    <w:p w:rsidR="0039689F" w:rsidRPr="006723DE" w:rsidRDefault="0039689F" w:rsidP="0039689F">
      <w:pPr>
        <w:rPr>
          <w:rFonts w:cs="Times New Roman"/>
          <w:szCs w:val="24"/>
          <w:lang w:val="en-GB"/>
        </w:rPr>
      </w:pPr>
      <w:r w:rsidRPr="006723DE">
        <w:rPr>
          <w:rFonts w:cs="Times New Roman"/>
          <w:szCs w:val="24"/>
          <w:lang w:val="en-GB"/>
        </w:rPr>
        <w:t xml:space="preserve">In July 2014 </w:t>
      </w:r>
      <w:r w:rsidR="00623FD2">
        <w:rPr>
          <w:rFonts w:cs="Times New Roman"/>
          <w:szCs w:val="24"/>
          <w:lang w:val="en-GB"/>
        </w:rPr>
        <w:t xml:space="preserve">the European Banking Authority (EBA) </w:t>
      </w:r>
      <w:r w:rsidRPr="006723DE">
        <w:rPr>
          <w:rFonts w:cs="Times New Roman"/>
          <w:szCs w:val="24"/>
          <w:lang w:val="en-GB"/>
        </w:rPr>
        <w:t>issued the following report: EBA Report on EU Covered Bonds Frameworks and Capital Treatment</w:t>
      </w:r>
      <w:r w:rsidRPr="006723DE">
        <w:rPr>
          <w:rStyle w:val="Voetnootmarkering"/>
          <w:rFonts w:cs="Times New Roman"/>
          <w:szCs w:val="24"/>
          <w:lang w:val="en-GB"/>
        </w:rPr>
        <w:footnoteReference w:id="1"/>
      </w:r>
      <w:r w:rsidRPr="006723DE">
        <w:rPr>
          <w:rFonts w:cs="Times New Roman"/>
          <w:szCs w:val="24"/>
          <w:lang w:val="en-GB"/>
        </w:rPr>
        <w:t>.</w:t>
      </w:r>
    </w:p>
    <w:p w:rsidR="006E754C" w:rsidRPr="006723DE" w:rsidRDefault="0039689F" w:rsidP="0039689F">
      <w:pPr>
        <w:rPr>
          <w:rFonts w:cs="Times New Roman"/>
          <w:szCs w:val="24"/>
          <w:lang w:val="en-GB"/>
        </w:rPr>
      </w:pPr>
      <w:r w:rsidRPr="006723DE">
        <w:rPr>
          <w:rFonts w:cs="Times New Roman"/>
          <w:szCs w:val="24"/>
          <w:lang w:val="en-GB"/>
        </w:rPr>
        <w:t xml:space="preserve">The timing of the issuance of this report coincided with a project of </w:t>
      </w:r>
      <w:r w:rsidR="006E754C" w:rsidRPr="006723DE">
        <w:rPr>
          <w:rFonts w:cs="Times New Roman"/>
          <w:szCs w:val="24"/>
          <w:lang w:val="en-GB"/>
        </w:rPr>
        <w:t xml:space="preserve">the </w:t>
      </w:r>
      <w:r w:rsidRPr="006723DE">
        <w:rPr>
          <w:rFonts w:cs="Times New Roman"/>
          <w:szCs w:val="24"/>
          <w:lang w:val="en-GB"/>
        </w:rPr>
        <w:t>Dutch Associ</w:t>
      </w:r>
      <w:r w:rsidR="00EA40A7" w:rsidRPr="006723DE">
        <w:rPr>
          <w:rFonts w:cs="Times New Roman"/>
          <w:szCs w:val="24"/>
          <w:lang w:val="en-GB"/>
        </w:rPr>
        <w:t>ation of Covered Bonds issuers</w:t>
      </w:r>
      <w:r w:rsidR="006E754C" w:rsidRPr="006723DE">
        <w:rPr>
          <w:rFonts w:cs="Times New Roman"/>
          <w:szCs w:val="24"/>
          <w:lang w:val="en-GB"/>
        </w:rPr>
        <w:t xml:space="preserve"> (DACB)</w:t>
      </w:r>
      <w:r w:rsidRPr="006723DE">
        <w:rPr>
          <w:rFonts w:cs="Times New Roman"/>
          <w:szCs w:val="24"/>
          <w:lang w:val="en-GB"/>
        </w:rPr>
        <w:t xml:space="preserve">, the Ministry </w:t>
      </w:r>
      <w:r w:rsidR="00EA40A7" w:rsidRPr="006723DE">
        <w:rPr>
          <w:rFonts w:cs="Times New Roman"/>
          <w:szCs w:val="24"/>
          <w:lang w:val="en-GB"/>
        </w:rPr>
        <w:t>of Finance and the</w:t>
      </w:r>
      <w:r w:rsidR="00685CAB">
        <w:rPr>
          <w:rFonts w:cs="Times New Roman"/>
          <w:szCs w:val="24"/>
          <w:lang w:val="en-GB"/>
        </w:rPr>
        <w:t xml:space="preserve"> </w:t>
      </w:r>
      <w:r w:rsidRPr="006723DE">
        <w:rPr>
          <w:rFonts w:cs="Times New Roman"/>
          <w:szCs w:val="24"/>
          <w:lang w:val="en-GB"/>
        </w:rPr>
        <w:t>central bank to update the</w:t>
      </w:r>
      <w:r w:rsidR="000809C4">
        <w:rPr>
          <w:rFonts w:cs="Times New Roman"/>
          <w:szCs w:val="24"/>
          <w:lang w:val="en-GB"/>
        </w:rPr>
        <w:t xml:space="preserve"> </w:t>
      </w:r>
      <w:r w:rsidRPr="006723DE">
        <w:rPr>
          <w:rFonts w:cs="Times New Roman"/>
          <w:szCs w:val="24"/>
          <w:lang w:val="en-GB"/>
        </w:rPr>
        <w:t>legislat</w:t>
      </w:r>
      <w:r w:rsidR="00EA40A7" w:rsidRPr="006723DE">
        <w:rPr>
          <w:rFonts w:cs="Times New Roman"/>
          <w:szCs w:val="24"/>
          <w:lang w:val="en-GB"/>
        </w:rPr>
        <w:t xml:space="preserve">ive and regulatory environment for </w:t>
      </w:r>
      <w:r w:rsidR="00685CAB">
        <w:rPr>
          <w:rFonts w:cs="Times New Roman"/>
          <w:szCs w:val="24"/>
          <w:lang w:val="en-GB"/>
        </w:rPr>
        <w:t xml:space="preserve">Dutch </w:t>
      </w:r>
      <w:r w:rsidR="00EA40A7" w:rsidRPr="006723DE">
        <w:rPr>
          <w:rFonts w:cs="Times New Roman"/>
          <w:szCs w:val="24"/>
          <w:lang w:val="en-GB"/>
        </w:rPr>
        <w:t>covered bonds</w:t>
      </w:r>
      <w:r w:rsidRPr="006723DE">
        <w:rPr>
          <w:rFonts w:cs="Times New Roman"/>
          <w:szCs w:val="24"/>
          <w:lang w:val="en-GB"/>
        </w:rPr>
        <w:br/>
        <w:t>The</w:t>
      </w:r>
      <w:r w:rsidR="006E754C" w:rsidRPr="006723DE">
        <w:rPr>
          <w:rFonts w:cs="Times New Roman"/>
          <w:szCs w:val="24"/>
          <w:lang w:val="en-GB"/>
        </w:rPr>
        <w:t xml:space="preserve"> </w:t>
      </w:r>
      <w:r w:rsidRPr="006723DE">
        <w:rPr>
          <w:rFonts w:cs="Times New Roman"/>
          <w:szCs w:val="24"/>
          <w:lang w:val="en-GB"/>
        </w:rPr>
        <w:t xml:space="preserve"> timing of the EBA report – which was drafted at the request of the ESRB –allowed the participants in this project to </w:t>
      </w:r>
      <w:r w:rsidR="007605E6">
        <w:rPr>
          <w:rFonts w:cs="Times New Roman"/>
          <w:szCs w:val="24"/>
          <w:lang w:val="en-GB"/>
        </w:rPr>
        <w:t>implement</w:t>
      </w:r>
      <w:r w:rsidR="007605E6" w:rsidRPr="006723DE">
        <w:rPr>
          <w:rFonts w:cs="Times New Roman"/>
          <w:szCs w:val="24"/>
          <w:lang w:val="en-GB"/>
        </w:rPr>
        <w:t xml:space="preserve"> </w:t>
      </w:r>
      <w:r w:rsidRPr="006723DE">
        <w:rPr>
          <w:rFonts w:cs="Times New Roman"/>
          <w:szCs w:val="24"/>
          <w:lang w:val="en-GB"/>
        </w:rPr>
        <w:t>the EBA recommendations</w:t>
      </w:r>
      <w:r w:rsidR="007619B6">
        <w:rPr>
          <w:rFonts w:cs="Times New Roman"/>
          <w:szCs w:val="24"/>
          <w:lang w:val="en-GB"/>
        </w:rPr>
        <w:t xml:space="preserve"> </w:t>
      </w:r>
      <w:r w:rsidR="007605E6">
        <w:rPr>
          <w:rFonts w:cs="Times New Roman"/>
          <w:szCs w:val="24"/>
          <w:lang w:val="en-GB"/>
        </w:rPr>
        <w:t>in the new law</w:t>
      </w:r>
      <w:r w:rsidRPr="006723DE">
        <w:rPr>
          <w:rFonts w:cs="Times New Roman"/>
          <w:szCs w:val="24"/>
          <w:lang w:val="en-GB"/>
        </w:rPr>
        <w:t xml:space="preserve">. </w:t>
      </w:r>
    </w:p>
    <w:p w:rsidR="0039689F" w:rsidRPr="006723DE" w:rsidRDefault="0039689F" w:rsidP="0039689F">
      <w:pPr>
        <w:rPr>
          <w:rFonts w:cs="Times New Roman"/>
          <w:szCs w:val="24"/>
          <w:lang w:val="en-GB"/>
        </w:rPr>
      </w:pPr>
      <w:r w:rsidRPr="006723DE">
        <w:rPr>
          <w:rFonts w:cs="Times New Roman"/>
          <w:szCs w:val="24"/>
          <w:lang w:val="en-GB"/>
        </w:rPr>
        <w:t xml:space="preserve">In chapter 10.1 of its report </w:t>
      </w:r>
      <w:r w:rsidR="00166CA1">
        <w:rPr>
          <w:rFonts w:cs="Times New Roman"/>
          <w:szCs w:val="24"/>
          <w:lang w:val="en-GB"/>
        </w:rPr>
        <w:t>(pages 143</w:t>
      </w:r>
      <w:r w:rsidR="00623FD2">
        <w:rPr>
          <w:rFonts w:cs="Times New Roman"/>
          <w:szCs w:val="24"/>
          <w:lang w:val="en-GB"/>
        </w:rPr>
        <w:t>-148) EBA refers to eight</w:t>
      </w:r>
      <w:r w:rsidR="00A1097B">
        <w:rPr>
          <w:rFonts w:cs="Times New Roman"/>
          <w:szCs w:val="24"/>
          <w:lang w:val="en-GB"/>
        </w:rPr>
        <w:t xml:space="preserve"> </w:t>
      </w:r>
      <w:r w:rsidR="00717637">
        <w:rPr>
          <w:rFonts w:cs="Times New Roman"/>
          <w:szCs w:val="24"/>
          <w:lang w:val="en-GB"/>
        </w:rPr>
        <w:t>best practic</w:t>
      </w:r>
      <w:r w:rsidR="00623FD2">
        <w:rPr>
          <w:rFonts w:cs="Times New Roman"/>
          <w:szCs w:val="24"/>
          <w:lang w:val="en-GB"/>
        </w:rPr>
        <w:t>es</w:t>
      </w:r>
      <w:r w:rsidR="00A1097B">
        <w:rPr>
          <w:rFonts w:cs="Times New Roman"/>
          <w:szCs w:val="24"/>
          <w:lang w:val="en-GB"/>
        </w:rPr>
        <w:t xml:space="preserve"> </w:t>
      </w:r>
      <w:r w:rsidR="00623FD2">
        <w:rPr>
          <w:rFonts w:cs="Times New Roman"/>
          <w:szCs w:val="24"/>
          <w:lang w:val="en-GB"/>
        </w:rPr>
        <w:t xml:space="preserve">which issuers have to take into account </w:t>
      </w:r>
      <w:r w:rsidRPr="006723DE">
        <w:rPr>
          <w:rFonts w:cs="Times New Roman"/>
          <w:szCs w:val="24"/>
          <w:lang w:val="en-GB"/>
        </w:rPr>
        <w:t>to further strengthen the covered bond frameworks in Europe.</w:t>
      </w:r>
      <w:r w:rsidR="00A1097B">
        <w:rPr>
          <w:rFonts w:cs="Times New Roman"/>
          <w:szCs w:val="24"/>
          <w:lang w:val="en-GB"/>
        </w:rPr>
        <w:br/>
      </w:r>
      <w:r w:rsidR="00DA212D">
        <w:rPr>
          <w:rFonts w:cs="Times New Roman"/>
          <w:szCs w:val="24"/>
          <w:lang w:val="en-GB"/>
        </w:rPr>
        <w:t xml:space="preserve">In this paper we </w:t>
      </w:r>
      <w:r w:rsidR="007A31F6">
        <w:rPr>
          <w:rFonts w:cs="Times New Roman"/>
          <w:szCs w:val="24"/>
          <w:lang w:val="en-GB"/>
        </w:rPr>
        <w:t xml:space="preserve">explain how </w:t>
      </w:r>
      <w:r w:rsidR="00DA212D">
        <w:rPr>
          <w:rFonts w:cs="Times New Roman"/>
          <w:szCs w:val="24"/>
          <w:lang w:val="en-GB"/>
        </w:rPr>
        <w:t xml:space="preserve">these </w:t>
      </w:r>
      <w:r w:rsidR="006E754C" w:rsidRPr="006723DE">
        <w:rPr>
          <w:rFonts w:cs="Times New Roman"/>
          <w:szCs w:val="24"/>
          <w:lang w:val="en-GB"/>
        </w:rPr>
        <w:t xml:space="preserve">EBA </w:t>
      </w:r>
      <w:r w:rsidR="00717637">
        <w:rPr>
          <w:rFonts w:cs="Times New Roman"/>
          <w:szCs w:val="24"/>
          <w:lang w:val="en-GB"/>
        </w:rPr>
        <w:t>best practic</w:t>
      </w:r>
      <w:r w:rsidR="00A1097B">
        <w:rPr>
          <w:rFonts w:cs="Times New Roman"/>
          <w:szCs w:val="24"/>
          <w:lang w:val="en-GB"/>
        </w:rPr>
        <w:t xml:space="preserve">es </w:t>
      </w:r>
      <w:r w:rsidR="007605E6">
        <w:rPr>
          <w:rFonts w:cs="Times New Roman"/>
          <w:szCs w:val="24"/>
          <w:lang w:val="en-GB"/>
        </w:rPr>
        <w:t>have been taken into account in</w:t>
      </w:r>
      <w:r w:rsidR="006E754C" w:rsidRPr="006723DE">
        <w:rPr>
          <w:rFonts w:cs="Times New Roman"/>
          <w:szCs w:val="24"/>
          <w:lang w:val="en-GB"/>
        </w:rPr>
        <w:t xml:space="preserve"> </w:t>
      </w:r>
      <w:r w:rsidR="00675503">
        <w:rPr>
          <w:rFonts w:cs="Times New Roman"/>
          <w:szCs w:val="24"/>
          <w:lang w:val="en-GB"/>
        </w:rPr>
        <w:t xml:space="preserve">the </w:t>
      </w:r>
      <w:r w:rsidR="006E754C" w:rsidRPr="006723DE">
        <w:rPr>
          <w:rFonts w:cs="Times New Roman"/>
          <w:szCs w:val="24"/>
          <w:lang w:val="en-GB"/>
        </w:rPr>
        <w:t xml:space="preserve">new Dutch </w:t>
      </w:r>
      <w:r w:rsidR="007A31F6">
        <w:rPr>
          <w:rFonts w:cs="Times New Roman"/>
          <w:szCs w:val="24"/>
          <w:lang w:val="en-GB"/>
        </w:rPr>
        <w:t xml:space="preserve">covered bond law (effective as of </w:t>
      </w:r>
      <w:r w:rsidR="006E754C" w:rsidRPr="006723DE">
        <w:rPr>
          <w:rFonts w:cs="Times New Roman"/>
          <w:szCs w:val="24"/>
          <w:lang w:val="en-GB"/>
        </w:rPr>
        <w:t>January 1, 2015</w:t>
      </w:r>
      <w:r w:rsidR="007A31F6">
        <w:rPr>
          <w:rFonts w:cs="Times New Roman"/>
          <w:szCs w:val="24"/>
          <w:lang w:val="en-GB"/>
        </w:rPr>
        <w:t>)</w:t>
      </w:r>
      <w:r w:rsidR="006E754C" w:rsidRPr="006723DE">
        <w:rPr>
          <w:rFonts w:cs="Times New Roman"/>
          <w:szCs w:val="24"/>
          <w:lang w:val="en-GB"/>
        </w:rPr>
        <w:t>.</w:t>
      </w:r>
    </w:p>
    <w:p w:rsidR="006E754C" w:rsidRDefault="006E754C" w:rsidP="0039689F">
      <w:pPr>
        <w:rPr>
          <w:rFonts w:cs="Times New Roman"/>
          <w:sz w:val="24"/>
          <w:szCs w:val="24"/>
          <w:lang w:val="en-GB"/>
        </w:rPr>
      </w:pPr>
    </w:p>
    <w:p w:rsidR="006723DE" w:rsidRPr="00D83B4E" w:rsidRDefault="006723DE" w:rsidP="006723DE">
      <w:pPr>
        <w:pStyle w:val="Lijstalinea"/>
        <w:numPr>
          <w:ilvl w:val="0"/>
          <w:numId w:val="7"/>
        </w:numPr>
        <w:rPr>
          <w:rFonts w:cs="Times New Roman"/>
          <w:b/>
          <w:sz w:val="28"/>
          <w:szCs w:val="26"/>
          <w:lang w:val="en-GB"/>
        </w:rPr>
      </w:pPr>
      <w:r w:rsidRPr="00D83B4E">
        <w:rPr>
          <w:rFonts w:cs="Times New Roman"/>
          <w:b/>
          <w:sz w:val="28"/>
          <w:szCs w:val="26"/>
          <w:lang w:val="en-GB"/>
        </w:rPr>
        <w:t xml:space="preserve">EBA </w:t>
      </w:r>
      <w:r w:rsidR="007741E9">
        <w:rPr>
          <w:rFonts w:cs="Times New Roman"/>
          <w:b/>
          <w:sz w:val="28"/>
          <w:szCs w:val="26"/>
          <w:lang w:val="en-GB"/>
        </w:rPr>
        <w:t>best practices</w:t>
      </w:r>
      <w:r w:rsidRPr="00D83B4E">
        <w:rPr>
          <w:rFonts w:cs="Times New Roman"/>
          <w:b/>
          <w:sz w:val="28"/>
          <w:szCs w:val="26"/>
          <w:lang w:val="en-GB"/>
        </w:rPr>
        <w:t xml:space="preserve"> and Dutch issuer compliance </w:t>
      </w:r>
    </w:p>
    <w:p w:rsidR="00EC06CD" w:rsidRDefault="00B82F01" w:rsidP="006723DE">
      <w:pPr>
        <w:rPr>
          <w:rFonts w:cs="Times New Roman"/>
          <w:szCs w:val="26"/>
          <w:lang w:val="en-GB"/>
        </w:rPr>
      </w:pPr>
      <w:r>
        <w:rPr>
          <w:rFonts w:cs="Times New Roman"/>
          <w:szCs w:val="26"/>
          <w:lang w:val="en-GB"/>
        </w:rPr>
        <w:t xml:space="preserve">In this section we discuss </w:t>
      </w:r>
      <w:r w:rsidR="007A31F6">
        <w:rPr>
          <w:rFonts w:cs="Times New Roman"/>
          <w:szCs w:val="26"/>
          <w:lang w:val="en-GB"/>
        </w:rPr>
        <w:t xml:space="preserve">the </w:t>
      </w:r>
      <w:r w:rsidR="00D00E65">
        <w:rPr>
          <w:rFonts w:cs="Times New Roman"/>
          <w:szCs w:val="26"/>
          <w:lang w:val="en-GB"/>
        </w:rPr>
        <w:t xml:space="preserve">eight </w:t>
      </w:r>
      <w:r w:rsidR="00717637">
        <w:rPr>
          <w:rFonts w:cs="Times New Roman"/>
          <w:szCs w:val="26"/>
          <w:lang w:val="en-GB"/>
        </w:rPr>
        <w:t>best practic</w:t>
      </w:r>
      <w:r w:rsidR="00A1097B">
        <w:rPr>
          <w:rFonts w:cs="Times New Roman"/>
          <w:szCs w:val="26"/>
          <w:lang w:val="en-GB"/>
        </w:rPr>
        <w:t xml:space="preserve">es as identified by </w:t>
      </w:r>
      <w:r>
        <w:rPr>
          <w:rFonts w:cs="Times New Roman"/>
          <w:szCs w:val="26"/>
          <w:lang w:val="en-GB"/>
        </w:rPr>
        <w:t>EBA. We will explain why</w:t>
      </w:r>
      <w:r w:rsidR="007A31F6">
        <w:rPr>
          <w:rFonts w:cs="Times New Roman"/>
          <w:szCs w:val="26"/>
          <w:lang w:val="en-GB"/>
        </w:rPr>
        <w:t xml:space="preserve"> </w:t>
      </w:r>
      <w:r w:rsidR="001E015F">
        <w:rPr>
          <w:rFonts w:cs="Times New Roman"/>
          <w:szCs w:val="26"/>
          <w:lang w:val="en-GB"/>
        </w:rPr>
        <w:t xml:space="preserve">the DACB IS </w:t>
      </w:r>
      <w:r w:rsidR="007A31F6">
        <w:rPr>
          <w:rFonts w:cs="Times New Roman"/>
          <w:szCs w:val="26"/>
          <w:lang w:val="en-GB"/>
        </w:rPr>
        <w:t xml:space="preserve">of the </w:t>
      </w:r>
      <w:r w:rsidR="00F57F89">
        <w:rPr>
          <w:rFonts w:cs="Times New Roman"/>
          <w:szCs w:val="26"/>
          <w:lang w:val="en-GB"/>
        </w:rPr>
        <w:t>opinion</w:t>
      </w:r>
      <w:r w:rsidR="007A31F6">
        <w:rPr>
          <w:rFonts w:cs="Times New Roman"/>
          <w:szCs w:val="26"/>
          <w:lang w:val="en-GB"/>
        </w:rPr>
        <w:t xml:space="preserve"> that </w:t>
      </w:r>
      <w:r w:rsidR="001E015F">
        <w:rPr>
          <w:rFonts w:cs="Times New Roman"/>
          <w:szCs w:val="26"/>
          <w:lang w:val="en-GB"/>
        </w:rPr>
        <w:t>Dutch issuers</w:t>
      </w:r>
      <w:r w:rsidR="007A31F6">
        <w:rPr>
          <w:rFonts w:cs="Times New Roman"/>
          <w:szCs w:val="26"/>
          <w:lang w:val="en-GB"/>
        </w:rPr>
        <w:t xml:space="preserve"> are </w:t>
      </w:r>
      <w:r w:rsidR="00F57F89">
        <w:rPr>
          <w:rFonts w:cs="Times New Roman"/>
          <w:szCs w:val="26"/>
          <w:lang w:val="en-GB"/>
        </w:rPr>
        <w:t xml:space="preserve">in </w:t>
      </w:r>
      <w:r>
        <w:rPr>
          <w:rFonts w:cs="Times New Roman"/>
          <w:szCs w:val="26"/>
          <w:lang w:val="en-GB"/>
        </w:rPr>
        <w:t xml:space="preserve">compliance with </w:t>
      </w:r>
      <w:r w:rsidR="00F57F89">
        <w:rPr>
          <w:rFonts w:cs="Times New Roman"/>
          <w:szCs w:val="26"/>
          <w:lang w:val="en-GB"/>
        </w:rPr>
        <w:t>these</w:t>
      </w:r>
      <w:r w:rsidR="00717637">
        <w:rPr>
          <w:rFonts w:cs="Times New Roman"/>
          <w:szCs w:val="26"/>
          <w:lang w:val="en-GB"/>
        </w:rPr>
        <w:t xml:space="preserve"> best practic</w:t>
      </w:r>
      <w:r w:rsidR="00A1097B">
        <w:rPr>
          <w:rFonts w:cs="Times New Roman"/>
          <w:szCs w:val="26"/>
          <w:lang w:val="en-GB"/>
        </w:rPr>
        <w:t xml:space="preserve">es. </w:t>
      </w:r>
      <w:r w:rsidR="003222D4">
        <w:rPr>
          <w:rFonts w:cs="Times New Roman"/>
          <w:szCs w:val="26"/>
          <w:lang w:val="en-GB"/>
        </w:rPr>
        <w:t>In most cases this</w:t>
      </w:r>
      <w:r w:rsidR="00A1097B">
        <w:rPr>
          <w:rFonts w:cs="Times New Roman"/>
          <w:szCs w:val="26"/>
          <w:lang w:val="en-GB"/>
        </w:rPr>
        <w:t xml:space="preserve"> will be done by simply referring to specific Articles in the Dutch </w:t>
      </w:r>
      <w:r w:rsidR="00F57F89">
        <w:rPr>
          <w:rFonts w:cs="Times New Roman"/>
          <w:szCs w:val="26"/>
          <w:lang w:val="en-GB"/>
        </w:rPr>
        <w:t>covered bond l</w:t>
      </w:r>
      <w:r w:rsidR="00A1097B">
        <w:rPr>
          <w:rFonts w:cs="Times New Roman"/>
          <w:szCs w:val="26"/>
          <w:lang w:val="en-GB"/>
        </w:rPr>
        <w:t>aw</w:t>
      </w:r>
      <w:r>
        <w:rPr>
          <w:rFonts w:cs="Times New Roman"/>
          <w:szCs w:val="26"/>
          <w:lang w:val="en-GB"/>
        </w:rPr>
        <w:t xml:space="preserve">. In some instances (parts of) certain EBA </w:t>
      </w:r>
      <w:r w:rsidR="00A1097B">
        <w:rPr>
          <w:rFonts w:cs="Times New Roman"/>
          <w:szCs w:val="26"/>
          <w:lang w:val="en-GB"/>
        </w:rPr>
        <w:t>best practises ar</w:t>
      </w:r>
      <w:r>
        <w:rPr>
          <w:rFonts w:cs="Times New Roman"/>
          <w:szCs w:val="26"/>
          <w:lang w:val="en-GB"/>
        </w:rPr>
        <w:t xml:space="preserve">e </w:t>
      </w:r>
      <w:r w:rsidR="00E75DE9">
        <w:rPr>
          <w:rFonts w:cs="Times New Roman"/>
          <w:szCs w:val="26"/>
          <w:lang w:val="en-GB"/>
        </w:rPr>
        <w:t xml:space="preserve">not </w:t>
      </w:r>
      <w:r w:rsidR="006815CF">
        <w:rPr>
          <w:rFonts w:cs="Times New Roman"/>
          <w:szCs w:val="26"/>
          <w:lang w:val="en-GB"/>
        </w:rPr>
        <w:t xml:space="preserve">for the full 100% </w:t>
      </w:r>
      <w:r w:rsidR="00E75DE9">
        <w:rPr>
          <w:rFonts w:cs="Times New Roman"/>
          <w:szCs w:val="26"/>
          <w:lang w:val="en-GB"/>
        </w:rPr>
        <w:t xml:space="preserve">applicable to </w:t>
      </w:r>
      <w:r w:rsidR="001E015F">
        <w:rPr>
          <w:rFonts w:cs="Times New Roman"/>
          <w:szCs w:val="26"/>
          <w:lang w:val="en-GB"/>
        </w:rPr>
        <w:t>the Netherlands</w:t>
      </w:r>
      <w:r w:rsidR="003222D4">
        <w:rPr>
          <w:rFonts w:cs="Times New Roman"/>
          <w:szCs w:val="26"/>
          <w:lang w:val="en-GB"/>
        </w:rPr>
        <w:t>.</w:t>
      </w:r>
      <w:r>
        <w:rPr>
          <w:rFonts w:cs="Times New Roman"/>
          <w:szCs w:val="26"/>
          <w:lang w:val="en-GB"/>
        </w:rPr>
        <w:t xml:space="preserve"> </w:t>
      </w:r>
      <w:r w:rsidR="003222D4">
        <w:rPr>
          <w:rFonts w:cs="Times New Roman"/>
          <w:szCs w:val="26"/>
          <w:lang w:val="en-GB"/>
        </w:rPr>
        <w:t xml:space="preserve">In that case </w:t>
      </w:r>
      <w:r>
        <w:rPr>
          <w:rFonts w:cs="Times New Roman"/>
          <w:szCs w:val="26"/>
          <w:lang w:val="en-GB"/>
        </w:rPr>
        <w:t>we will explain why we hold th</w:t>
      </w:r>
      <w:r w:rsidR="00E75DE9">
        <w:rPr>
          <w:rFonts w:cs="Times New Roman"/>
          <w:szCs w:val="26"/>
          <w:lang w:val="en-GB"/>
        </w:rPr>
        <w:t xml:space="preserve">at </w:t>
      </w:r>
      <w:r w:rsidR="006815CF">
        <w:rPr>
          <w:rFonts w:cs="Times New Roman"/>
          <w:szCs w:val="26"/>
          <w:lang w:val="en-GB"/>
        </w:rPr>
        <w:t xml:space="preserve">view and what alternative </w:t>
      </w:r>
      <w:r w:rsidR="003222D4">
        <w:rPr>
          <w:rFonts w:cs="Times New Roman"/>
          <w:szCs w:val="26"/>
          <w:lang w:val="en-GB"/>
        </w:rPr>
        <w:t xml:space="preserve">solutions </w:t>
      </w:r>
      <w:r w:rsidR="006815CF">
        <w:rPr>
          <w:rFonts w:cs="Times New Roman"/>
          <w:szCs w:val="26"/>
          <w:lang w:val="en-GB"/>
        </w:rPr>
        <w:t>are in place in the Netherlands.</w:t>
      </w:r>
    </w:p>
    <w:p w:rsidR="00447507" w:rsidRDefault="00A1097B" w:rsidP="006723DE">
      <w:pPr>
        <w:rPr>
          <w:rFonts w:cs="Times New Roman"/>
          <w:szCs w:val="26"/>
          <w:lang w:val="en-GB"/>
        </w:rPr>
      </w:pPr>
      <w:r>
        <w:rPr>
          <w:rFonts w:cs="Times New Roman"/>
          <w:szCs w:val="26"/>
          <w:lang w:val="en-GB"/>
        </w:rPr>
        <w:lastRenderedPageBreak/>
        <w:t xml:space="preserve">In the following pages we often </w:t>
      </w:r>
      <w:r w:rsidR="00717637">
        <w:rPr>
          <w:rFonts w:cs="Times New Roman"/>
          <w:szCs w:val="26"/>
          <w:lang w:val="en-GB"/>
        </w:rPr>
        <w:t xml:space="preserve">refer to specific </w:t>
      </w:r>
      <w:r>
        <w:rPr>
          <w:rFonts w:cs="Times New Roman"/>
          <w:szCs w:val="26"/>
          <w:lang w:val="en-GB"/>
        </w:rPr>
        <w:t xml:space="preserve">sections of the Dutch </w:t>
      </w:r>
      <w:r w:rsidR="003222D4">
        <w:rPr>
          <w:rFonts w:cs="Times New Roman"/>
          <w:szCs w:val="26"/>
          <w:lang w:val="en-GB"/>
        </w:rPr>
        <w:t>legislation</w:t>
      </w:r>
      <w:r w:rsidR="00717637">
        <w:rPr>
          <w:rFonts w:cs="Times New Roman"/>
          <w:szCs w:val="26"/>
          <w:lang w:val="en-GB"/>
        </w:rPr>
        <w:t xml:space="preserve"> that are related to the specific EBA best practice.  </w:t>
      </w:r>
    </w:p>
    <w:p w:rsidR="0023704B" w:rsidRPr="007619B6" w:rsidRDefault="00717637" w:rsidP="006723DE">
      <w:pPr>
        <w:rPr>
          <w:rFonts w:cs="Times New Roman"/>
          <w:szCs w:val="26"/>
          <w:lang w:val="en-GB"/>
        </w:rPr>
      </w:pPr>
      <w:r w:rsidRPr="007619B6">
        <w:rPr>
          <w:rFonts w:cs="Times New Roman"/>
          <w:szCs w:val="26"/>
          <w:lang w:val="en-GB"/>
        </w:rPr>
        <w:t xml:space="preserve">The Dutch legislative environment </w:t>
      </w:r>
      <w:r w:rsidR="00F57F89">
        <w:rPr>
          <w:rFonts w:cs="Times New Roman"/>
          <w:szCs w:val="26"/>
          <w:lang w:val="en-GB"/>
        </w:rPr>
        <w:t xml:space="preserve">with respect to covered bonds </w:t>
      </w:r>
      <w:r w:rsidRPr="007619B6">
        <w:rPr>
          <w:rFonts w:cs="Times New Roman"/>
          <w:szCs w:val="26"/>
          <w:lang w:val="en-GB"/>
        </w:rPr>
        <w:t xml:space="preserve">consists of three different levels of law:  </w:t>
      </w:r>
    </w:p>
    <w:p w:rsidR="0023704B" w:rsidRPr="00473845" w:rsidRDefault="00717637" w:rsidP="0023704B">
      <w:pPr>
        <w:pStyle w:val="Lijstalinea"/>
        <w:numPr>
          <w:ilvl w:val="0"/>
          <w:numId w:val="9"/>
        </w:numPr>
        <w:rPr>
          <w:rFonts w:cs="Times New Roman"/>
          <w:szCs w:val="26"/>
        </w:rPr>
      </w:pPr>
      <w:r w:rsidRPr="00473845">
        <w:rPr>
          <w:rFonts w:cs="Times New Roman"/>
          <w:szCs w:val="26"/>
        </w:rPr>
        <w:t xml:space="preserve">The </w:t>
      </w:r>
      <w:r w:rsidR="00473845" w:rsidRPr="00473845">
        <w:rPr>
          <w:rFonts w:cs="Times New Roman"/>
          <w:szCs w:val="26"/>
        </w:rPr>
        <w:t xml:space="preserve">Financial </w:t>
      </w:r>
      <w:proofErr w:type="spellStart"/>
      <w:r w:rsidR="00473845" w:rsidRPr="00473845">
        <w:rPr>
          <w:rFonts w:cs="Times New Roman"/>
          <w:szCs w:val="26"/>
        </w:rPr>
        <w:t>Supervision</w:t>
      </w:r>
      <w:proofErr w:type="spellEnd"/>
      <w:r w:rsidR="00473845" w:rsidRPr="00473845">
        <w:rPr>
          <w:rFonts w:cs="Times New Roman"/>
          <w:szCs w:val="26"/>
        </w:rPr>
        <w:t xml:space="preserve"> Act (FSA)</w:t>
      </w:r>
      <w:r w:rsidR="00473845">
        <w:rPr>
          <w:rFonts w:cs="Times New Roman"/>
          <w:szCs w:val="26"/>
        </w:rPr>
        <w:t xml:space="preserve"> - </w:t>
      </w:r>
      <w:r w:rsidRPr="00473845">
        <w:rPr>
          <w:rFonts w:cs="Times New Roman"/>
          <w:szCs w:val="26"/>
        </w:rPr>
        <w:t>Wet o</w:t>
      </w:r>
      <w:r w:rsidR="0023704B" w:rsidRPr="00473845">
        <w:rPr>
          <w:rFonts w:cs="Times New Roman"/>
          <w:szCs w:val="26"/>
        </w:rPr>
        <w:t>p</w:t>
      </w:r>
      <w:r w:rsidRPr="00473845">
        <w:rPr>
          <w:rFonts w:cs="Times New Roman"/>
          <w:szCs w:val="26"/>
        </w:rPr>
        <w:t xml:space="preserve"> f</w:t>
      </w:r>
      <w:r w:rsidR="00473845" w:rsidRPr="00473845">
        <w:rPr>
          <w:rFonts w:cs="Times New Roman"/>
          <w:szCs w:val="26"/>
        </w:rPr>
        <w:t>inancieel toezicht</w:t>
      </w:r>
      <w:r w:rsidR="00473845">
        <w:rPr>
          <w:rFonts w:cs="Times New Roman"/>
          <w:szCs w:val="26"/>
        </w:rPr>
        <w:t xml:space="preserve"> (</w:t>
      </w:r>
      <w:proofErr w:type="spellStart"/>
      <w:r w:rsidR="00473845">
        <w:rPr>
          <w:rFonts w:cs="Times New Roman"/>
          <w:szCs w:val="26"/>
        </w:rPr>
        <w:t>Wft</w:t>
      </w:r>
      <w:proofErr w:type="spellEnd"/>
      <w:r w:rsidR="00473845">
        <w:rPr>
          <w:rFonts w:cs="Times New Roman"/>
          <w:szCs w:val="26"/>
        </w:rPr>
        <w:t>)</w:t>
      </w:r>
    </w:p>
    <w:p w:rsidR="0023704B" w:rsidRDefault="00717637" w:rsidP="0023704B">
      <w:pPr>
        <w:pStyle w:val="Lijstalinea"/>
        <w:numPr>
          <w:ilvl w:val="0"/>
          <w:numId w:val="9"/>
        </w:numPr>
        <w:rPr>
          <w:rFonts w:cs="Times New Roman"/>
          <w:szCs w:val="26"/>
          <w:lang w:val="en-GB"/>
        </w:rPr>
      </w:pPr>
      <w:r w:rsidRPr="0023704B">
        <w:rPr>
          <w:rFonts w:cs="Times New Roman"/>
          <w:szCs w:val="26"/>
          <w:lang w:val="en-GB"/>
        </w:rPr>
        <w:t>The Decree</w:t>
      </w:r>
      <w:r w:rsidR="00473845">
        <w:rPr>
          <w:rFonts w:cs="Times New Roman"/>
          <w:szCs w:val="26"/>
          <w:lang w:val="en-GB"/>
        </w:rPr>
        <w:t xml:space="preserve"> on</w:t>
      </w:r>
      <w:r w:rsidR="0023704B">
        <w:rPr>
          <w:rFonts w:cs="Times New Roman"/>
          <w:szCs w:val="26"/>
          <w:lang w:val="en-GB"/>
        </w:rPr>
        <w:t xml:space="preserve"> </w:t>
      </w:r>
      <w:r w:rsidRPr="0023704B">
        <w:rPr>
          <w:rFonts w:cs="Times New Roman"/>
          <w:szCs w:val="26"/>
          <w:lang w:val="en-GB"/>
        </w:rPr>
        <w:t>Prudential Rules</w:t>
      </w:r>
      <w:r w:rsidR="00473845">
        <w:rPr>
          <w:rFonts w:cs="Times New Roman"/>
          <w:szCs w:val="26"/>
          <w:lang w:val="en-GB"/>
        </w:rPr>
        <w:t xml:space="preserve"> under the FSA -</w:t>
      </w:r>
      <w:r w:rsidRPr="0023704B">
        <w:rPr>
          <w:rFonts w:cs="Times New Roman"/>
          <w:szCs w:val="26"/>
          <w:lang w:val="en-GB"/>
        </w:rPr>
        <w:t xml:space="preserve"> </w:t>
      </w:r>
      <w:proofErr w:type="spellStart"/>
      <w:r w:rsidRPr="0023704B">
        <w:rPr>
          <w:rFonts w:cs="Times New Roman"/>
          <w:szCs w:val="26"/>
          <w:lang w:val="en-GB"/>
        </w:rPr>
        <w:t>Besluit</w:t>
      </w:r>
      <w:proofErr w:type="spellEnd"/>
      <w:r w:rsidRPr="0023704B">
        <w:rPr>
          <w:rFonts w:cs="Times New Roman"/>
          <w:szCs w:val="26"/>
          <w:lang w:val="en-GB"/>
        </w:rPr>
        <w:t xml:space="preserve"> </w:t>
      </w:r>
      <w:proofErr w:type="spellStart"/>
      <w:r w:rsidRPr="0023704B">
        <w:rPr>
          <w:rFonts w:cs="Times New Roman"/>
          <w:szCs w:val="26"/>
          <w:lang w:val="en-GB"/>
        </w:rPr>
        <w:t>prudentiële</w:t>
      </w:r>
      <w:proofErr w:type="spellEnd"/>
      <w:r w:rsidR="00473845">
        <w:rPr>
          <w:rFonts w:cs="Times New Roman"/>
          <w:szCs w:val="26"/>
          <w:lang w:val="en-GB"/>
        </w:rPr>
        <w:t xml:space="preserve"> regels </w:t>
      </w:r>
      <w:proofErr w:type="spellStart"/>
      <w:r w:rsidR="00473845">
        <w:rPr>
          <w:rFonts w:cs="Times New Roman"/>
          <w:szCs w:val="26"/>
          <w:lang w:val="en-GB"/>
        </w:rPr>
        <w:t>Wft</w:t>
      </w:r>
      <w:proofErr w:type="spellEnd"/>
      <w:r w:rsidRPr="0023704B">
        <w:rPr>
          <w:rFonts w:cs="Times New Roman"/>
          <w:szCs w:val="26"/>
          <w:lang w:val="en-GB"/>
        </w:rPr>
        <w:t xml:space="preserve"> </w:t>
      </w:r>
      <w:r w:rsidR="00473845">
        <w:rPr>
          <w:rFonts w:cs="Times New Roman"/>
          <w:szCs w:val="26"/>
          <w:lang w:val="en-GB"/>
        </w:rPr>
        <w:t>(</w:t>
      </w:r>
      <w:proofErr w:type="spellStart"/>
      <w:r w:rsidR="00473845">
        <w:rPr>
          <w:rFonts w:cs="Times New Roman"/>
          <w:szCs w:val="26"/>
          <w:lang w:val="en-GB"/>
        </w:rPr>
        <w:t>Bpr</w:t>
      </w:r>
      <w:proofErr w:type="spellEnd"/>
      <w:r w:rsidR="00473845">
        <w:rPr>
          <w:rFonts w:cs="Times New Roman"/>
          <w:szCs w:val="26"/>
          <w:lang w:val="en-GB"/>
        </w:rPr>
        <w:t>)</w:t>
      </w:r>
    </w:p>
    <w:p w:rsidR="00447507" w:rsidRPr="00473845" w:rsidRDefault="00717637" w:rsidP="0023704B">
      <w:pPr>
        <w:pStyle w:val="Lijstalinea"/>
        <w:numPr>
          <w:ilvl w:val="0"/>
          <w:numId w:val="9"/>
        </w:numPr>
        <w:rPr>
          <w:rFonts w:cs="Times New Roman"/>
          <w:szCs w:val="26"/>
        </w:rPr>
      </w:pPr>
      <w:r w:rsidRPr="00473845">
        <w:rPr>
          <w:rFonts w:cs="Times New Roman"/>
          <w:szCs w:val="26"/>
        </w:rPr>
        <w:t xml:space="preserve">The </w:t>
      </w:r>
      <w:r w:rsidR="00473845" w:rsidRPr="00473845">
        <w:rPr>
          <w:rFonts w:cs="Times New Roman"/>
          <w:szCs w:val="26"/>
        </w:rPr>
        <w:t xml:space="preserve">FSA </w:t>
      </w:r>
      <w:proofErr w:type="spellStart"/>
      <w:r w:rsidRPr="00473845">
        <w:rPr>
          <w:rFonts w:cs="Times New Roman"/>
          <w:szCs w:val="26"/>
        </w:rPr>
        <w:t>Implementing</w:t>
      </w:r>
      <w:proofErr w:type="spellEnd"/>
      <w:r w:rsidRPr="00473845">
        <w:rPr>
          <w:rFonts w:cs="Times New Roman"/>
          <w:szCs w:val="26"/>
        </w:rPr>
        <w:t xml:space="preserve"> </w:t>
      </w:r>
      <w:r w:rsidR="00473845" w:rsidRPr="00473845">
        <w:rPr>
          <w:rFonts w:cs="Times New Roman"/>
          <w:szCs w:val="26"/>
        </w:rPr>
        <w:t xml:space="preserve">Rules </w:t>
      </w:r>
      <w:r w:rsidR="00473845">
        <w:rPr>
          <w:rFonts w:cs="Times New Roman"/>
          <w:szCs w:val="26"/>
        </w:rPr>
        <w:t xml:space="preserve">- </w:t>
      </w:r>
      <w:r w:rsidR="00473845" w:rsidRPr="00473845">
        <w:rPr>
          <w:rFonts w:cs="Times New Roman"/>
          <w:szCs w:val="26"/>
        </w:rPr>
        <w:t xml:space="preserve">Uitvoeringsregeling </w:t>
      </w:r>
      <w:proofErr w:type="spellStart"/>
      <w:r w:rsidR="00473845" w:rsidRPr="00473845">
        <w:rPr>
          <w:rFonts w:cs="Times New Roman"/>
          <w:szCs w:val="26"/>
        </w:rPr>
        <w:t>Wft</w:t>
      </w:r>
      <w:proofErr w:type="spellEnd"/>
      <w:r w:rsidRPr="00473845">
        <w:rPr>
          <w:rFonts w:cs="Times New Roman"/>
          <w:szCs w:val="26"/>
        </w:rPr>
        <w:t xml:space="preserve"> </w:t>
      </w:r>
      <w:r w:rsidR="00473845">
        <w:rPr>
          <w:rFonts w:cs="Times New Roman"/>
          <w:szCs w:val="26"/>
        </w:rPr>
        <w:t>(</w:t>
      </w:r>
      <w:proofErr w:type="spellStart"/>
      <w:r w:rsidR="00473845">
        <w:rPr>
          <w:rFonts w:cs="Times New Roman"/>
          <w:szCs w:val="26"/>
        </w:rPr>
        <w:t>Ur</w:t>
      </w:r>
      <w:proofErr w:type="spellEnd"/>
      <w:r w:rsidR="00473845">
        <w:rPr>
          <w:rFonts w:cs="Times New Roman"/>
          <w:szCs w:val="26"/>
        </w:rPr>
        <w:t>)</w:t>
      </w:r>
    </w:p>
    <w:p w:rsidR="0073090B" w:rsidRDefault="00717637" w:rsidP="006723DE">
      <w:pPr>
        <w:rPr>
          <w:rFonts w:cs="Times New Roman"/>
          <w:szCs w:val="26"/>
          <w:lang w:val="en-GB"/>
        </w:rPr>
      </w:pPr>
      <w:r>
        <w:rPr>
          <w:rFonts w:cs="Times New Roman"/>
          <w:szCs w:val="26"/>
          <w:lang w:val="en-GB"/>
        </w:rPr>
        <w:t xml:space="preserve">Dutch and English </w:t>
      </w:r>
      <w:r w:rsidR="0023704B">
        <w:rPr>
          <w:rFonts w:cs="Times New Roman"/>
          <w:szCs w:val="26"/>
          <w:lang w:val="en-GB"/>
        </w:rPr>
        <w:t>(unofficial translation</w:t>
      </w:r>
      <w:r w:rsidR="00C044AB">
        <w:rPr>
          <w:rFonts w:cs="Times New Roman"/>
          <w:szCs w:val="26"/>
          <w:lang w:val="en-GB"/>
        </w:rPr>
        <w:t xml:space="preserve">) </w:t>
      </w:r>
      <w:r>
        <w:rPr>
          <w:rFonts w:cs="Times New Roman"/>
          <w:szCs w:val="26"/>
          <w:lang w:val="en-GB"/>
        </w:rPr>
        <w:t xml:space="preserve">versions of the </w:t>
      </w:r>
      <w:proofErr w:type="spellStart"/>
      <w:r>
        <w:rPr>
          <w:rFonts w:cs="Times New Roman"/>
          <w:szCs w:val="26"/>
          <w:lang w:val="en-GB"/>
        </w:rPr>
        <w:t>Wft</w:t>
      </w:r>
      <w:proofErr w:type="spellEnd"/>
      <w:r>
        <w:rPr>
          <w:rFonts w:cs="Times New Roman"/>
          <w:szCs w:val="26"/>
          <w:lang w:val="en-GB"/>
        </w:rPr>
        <w:t xml:space="preserve">, </w:t>
      </w:r>
      <w:proofErr w:type="spellStart"/>
      <w:r>
        <w:rPr>
          <w:rFonts w:cs="Times New Roman"/>
          <w:szCs w:val="26"/>
          <w:lang w:val="en-GB"/>
        </w:rPr>
        <w:t>Bpr</w:t>
      </w:r>
      <w:proofErr w:type="spellEnd"/>
      <w:r>
        <w:rPr>
          <w:rFonts w:cs="Times New Roman"/>
          <w:szCs w:val="26"/>
          <w:lang w:val="en-GB"/>
        </w:rPr>
        <w:t xml:space="preserve"> and the Ur can be found </w:t>
      </w:r>
      <w:r w:rsidR="00062CD6">
        <w:rPr>
          <w:rFonts w:cs="Times New Roman"/>
          <w:szCs w:val="26"/>
          <w:lang w:val="en-GB"/>
        </w:rPr>
        <w:t>on the website of the</w:t>
      </w:r>
      <w:r w:rsidR="00473845">
        <w:rPr>
          <w:rFonts w:cs="Times New Roman"/>
          <w:szCs w:val="26"/>
          <w:lang w:val="en-GB"/>
        </w:rPr>
        <w:t xml:space="preserve"> DACB </w:t>
      </w:r>
      <w:r w:rsidR="007741E9">
        <w:rPr>
          <w:rFonts w:cs="Times New Roman"/>
          <w:szCs w:val="26"/>
          <w:lang w:val="en-GB"/>
        </w:rPr>
        <w:t>(</w:t>
      </w:r>
      <w:hyperlink r:id="rId9" w:history="1">
        <w:r w:rsidR="007A31F6" w:rsidRPr="00DA5E6F">
          <w:rPr>
            <w:rStyle w:val="Hyperlink"/>
            <w:rFonts w:cs="Times New Roman"/>
            <w:szCs w:val="26"/>
            <w:lang w:val="en-GB"/>
          </w:rPr>
          <w:t>www.dacb.nl</w:t>
        </w:r>
      </w:hyperlink>
      <w:r w:rsidR="007A31F6">
        <w:rPr>
          <w:rFonts w:cs="Times New Roman"/>
          <w:szCs w:val="26"/>
          <w:lang w:val="en-GB"/>
        </w:rPr>
        <w:t xml:space="preserve"> - r</w:t>
      </w:r>
      <w:r w:rsidR="00473845">
        <w:rPr>
          <w:rFonts w:cs="Times New Roman"/>
          <w:szCs w:val="26"/>
          <w:lang w:val="en-GB"/>
        </w:rPr>
        <w:t xml:space="preserve">esearch </w:t>
      </w:r>
      <w:r w:rsidR="007741E9">
        <w:rPr>
          <w:rFonts w:cs="Times New Roman"/>
          <w:szCs w:val="26"/>
          <w:lang w:val="en-GB"/>
        </w:rPr>
        <w:t xml:space="preserve">page). </w:t>
      </w:r>
      <w:r w:rsidR="00473845">
        <w:rPr>
          <w:rFonts w:cs="Times New Roman"/>
          <w:szCs w:val="26"/>
          <w:lang w:val="en-GB"/>
        </w:rPr>
        <w:t xml:space="preserve"> </w:t>
      </w:r>
      <w:r w:rsidR="00062CD6">
        <w:rPr>
          <w:rFonts w:cs="Times New Roman"/>
          <w:szCs w:val="26"/>
          <w:lang w:val="en-GB"/>
        </w:rPr>
        <w:t xml:space="preserve">  </w:t>
      </w:r>
      <w:r w:rsidR="0073090B">
        <w:rPr>
          <w:rFonts w:cs="Times New Roman"/>
          <w:szCs w:val="26"/>
          <w:lang w:val="en-GB"/>
        </w:rPr>
        <w:br/>
      </w:r>
    </w:p>
    <w:p w:rsidR="00B04A3D" w:rsidRPr="0073090B" w:rsidRDefault="00717637" w:rsidP="006723DE">
      <w:pPr>
        <w:rPr>
          <w:rFonts w:cs="Times New Roman"/>
          <w:szCs w:val="26"/>
          <w:lang w:val="en-GB"/>
        </w:rPr>
      </w:pPr>
      <w:r w:rsidRPr="00B04A3D">
        <w:rPr>
          <w:rFonts w:cs="Times New Roman"/>
          <w:b/>
          <w:sz w:val="28"/>
          <w:szCs w:val="26"/>
          <w:lang w:val="en-GB"/>
        </w:rPr>
        <w:t>EBA best practices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D83B4E" w:rsidRPr="000B7EAE" w:rsidTr="001846DA">
        <w:trPr>
          <w:trHeight w:val="110"/>
        </w:trPr>
        <w:tc>
          <w:tcPr>
            <w:tcW w:w="9037" w:type="dxa"/>
          </w:tcPr>
          <w:p w:rsidR="00C678BB" w:rsidRPr="001846DA" w:rsidRDefault="00C678BB" w:rsidP="00D83B4E">
            <w:pPr>
              <w:autoSpaceDE w:val="0"/>
              <w:autoSpaceDN w:val="0"/>
              <w:adjustRightInd w:val="0"/>
              <w:spacing w:after="0" w:line="240" w:lineRule="auto"/>
              <w:rPr>
                <w:rFonts w:ascii="Calibri" w:hAnsi="Calibri" w:cs="Calibri"/>
                <w:b/>
                <w:bCs/>
                <w:i/>
                <w:color w:val="0070C0"/>
                <w:sz w:val="32"/>
                <w:lang w:val="en-GB"/>
              </w:rPr>
            </w:pPr>
            <w:r w:rsidRPr="001846DA">
              <w:rPr>
                <w:b/>
                <w:bCs/>
                <w:i/>
                <w:color w:val="0070C0"/>
                <w:sz w:val="28"/>
                <w:szCs w:val="23"/>
                <w:lang w:val="en-GB"/>
              </w:rPr>
              <w:t>Dual recourse</w:t>
            </w:r>
          </w:p>
          <w:p w:rsidR="00C678BB" w:rsidRPr="001846DA" w:rsidRDefault="00C678BB" w:rsidP="00D83B4E">
            <w:pPr>
              <w:autoSpaceDE w:val="0"/>
              <w:autoSpaceDN w:val="0"/>
              <w:adjustRightInd w:val="0"/>
              <w:spacing w:after="0" w:line="240" w:lineRule="auto"/>
              <w:rPr>
                <w:rFonts w:ascii="Calibri" w:hAnsi="Calibri" w:cs="Calibri"/>
                <w:b/>
                <w:bCs/>
                <w:i/>
                <w:color w:val="0070C0"/>
                <w:sz w:val="24"/>
                <w:lang w:val="en-GB"/>
              </w:rPr>
            </w:pPr>
          </w:p>
          <w:p w:rsidR="00D83B4E" w:rsidRPr="001846DA" w:rsidRDefault="00D83B4E" w:rsidP="00D83B4E">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1: Dual recourse </w:t>
            </w:r>
          </w:p>
        </w:tc>
      </w:tr>
      <w:tr w:rsidR="00D83B4E" w:rsidRPr="000B7EAE" w:rsidTr="001846DA">
        <w:trPr>
          <w:trHeight w:val="1325"/>
        </w:trPr>
        <w:tc>
          <w:tcPr>
            <w:tcW w:w="9037" w:type="dxa"/>
          </w:tcPr>
          <w:p w:rsidR="00D83B4E" w:rsidRPr="001846DA" w:rsidRDefault="00D83B4E" w:rsidP="00D83B4E">
            <w:pPr>
              <w:autoSpaceDE w:val="0"/>
              <w:autoSpaceDN w:val="0"/>
              <w:adjustRightInd w:val="0"/>
              <w:spacing w:after="0" w:line="240" w:lineRule="auto"/>
              <w:rPr>
                <w:rFonts w:ascii="Calibri" w:hAnsi="Calibri" w:cs="Calibri"/>
                <w:i/>
                <w:color w:val="000000"/>
                <w:sz w:val="16"/>
                <w:szCs w:val="16"/>
                <w:lang w:val="en-GB"/>
              </w:rPr>
            </w:pPr>
          </w:p>
          <w:p w:rsidR="00D50330" w:rsidRPr="001846DA" w:rsidRDefault="00D83B4E" w:rsidP="00D83B4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In accordance with Article 52(4) of the UCITS Directive the (covered) bond must grant the investor: </w:t>
            </w:r>
          </w:p>
          <w:p w:rsidR="00D50330" w:rsidRPr="001846DA" w:rsidRDefault="00D50330" w:rsidP="00D83B4E">
            <w:pPr>
              <w:autoSpaceDE w:val="0"/>
              <w:autoSpaceDN w:val="0"/>
              <w:adjustRightInd w:val="0"/>
              <w:spacing w:after="0" w:line="240" w:lineRule="auto"/>
              <w:rPr>
                <w:rFonts w:ascii="Calibri" w:hAnsi="Calibri" w:cs="Calibri"/>
                <w:i/>
                <w:color w:val="002060"/>
                <w:lang w:val="en-GB"/>
              </w:rPr>
            </w:pPr>
          </w:p>
          <w:p w:rsidR="00D50330" w:rsidRPr="001846DA" w:rsidRDefault="00D83B4E" w:rsidP="001846DA">
            <w:pPr>
              <w:pStyle w:val="Lijstalinea"/>
              <w:numPr>
                <w:ilvl w:val="0"/>
                <w:numId w:val="18"/>
              </w:num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a claim on the covered bond issuer limited to the complete fulfilment of the payment obligations attached to the covered bond, and </w:t>
            </w:r>
          </w:p>
          <w:p w:rsidR="00D83B4E" w:rsidRPr="001846DA" w:rsidRDefault="00D83B4E" w:rsidP="001846DA">
            <w:pPr>
              <w:pStyle w:val="Lijstalinea"/>
              <w:numPr>
                <w:ilvl w:val="0"/>
                <w:numId w:val="18"/>
              </w:num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in case of issuer’s default, a priority claim on the assets included in the cover pool limited to the complete fulfilment of the payment obligations attached to the covered bond. </w:t>
            </w:r>
          </w:p>
          <w:p w:rsidR="00D83B4E" w:rsidRPr="001846DA" w:rsidRDefault="00D83B4E" w:rsidP="00D83B4E">
            <w:pPr>
              <w:autoSpaceDE w:val="0"/>
              <w:autoSpaceDN w:val="0"/>
              <w:adjustRightInd w:val="0"/>
              <w:spacing w:after="0" w:line="240" w:lineRule="auto"/>
              <w:rPr>
                <w:rFonts w:ascii="Calibri" w:hAnsi="Calibri" w:cs="Calibri"/>
                <w:i/>
                <w:color w:val="002060"/>
                <w:sz w:val="16"/>
                <w:szCs w:val="16"/>
                <w:lang w:val="en-GB"/>
              </w:rPr>
            </w:pPr>
          </w:p>
          <w:p w:rsidR="00D83B4E" w:rsidRPr="001846DA" w:rsidRDefault="00D83B4E" w:rsidP="00D83B4E">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Should the assets included in the cover pool prove insufficient to fully meet the payment obligations towards the covered bond investor, the covered bond investor should be granted a claim on the covered bond issuer’s ins</w:t>
            </w:r>
            <w:r w:rsidR="001120EA">
              <w:rPr>
                <w:rFonts w:ascii="Calibri" w:hAnsi="Calibri" w:cs="Calibri"/>
                <w:i/>
                <w:color w:val="002060"/>
                <w:lang w:val="en-GB"/>
              </w:rPr>
              <w:t xml:space="preserve">olvency estate which ranks </w:t>
            </w:r>
            <w:proofErr w:type="spellStart"/>
            <w:r w:rsidR="001120EA">
              <w:rPr>
                <w:rFonts w:ascii="Calibri" w:hAnsi="Calibri" w:cs="Calibri"/>
                <w:i/>
                <w:color w:val="002060"/>
                <w:lang w:val="en-GB"/>
              </w:rPr>
              <w:t>pari</w:t>
            </w:r>
            <w:proofErr w:type="spellEnd"/>
            <w:r w:rsidR="001120EA">
              <w:rPr>
                <w:rFonts w:ascii="Calibri" w:hAnsi="Calibri" w:cs="Calibri"/>
                <w:i/>
                <w:color w:val="002060"/>
                <w:lang w:val="en-GB"/>
              </w:rPr>
              <w:t xml:space="preserve"> </w:t>
            </w:r>
            <w:proofErr w:type="spellStart"/>
            <w:r w:rsidRPr="001846DA">
              <w:rPr>
                <w:rFonts w:ascii="Calibri" w:hAnsi="Calibri" w:cs="Calibri"/>
                <w:i/>
                <w:color w:val="002060"/>
                <w:lang w:val="en-GB"/>
              </w:rPr>
              <w:t>passu</w:t>
            </w:r>
            <w:proofErr w:type="spellEnd"/>
            <w:r w:rsidR="001120EA">
              <w:rPr>
                <w:rFonts w:ascii="Calibri" w:hAnsi="Calibri" w:cs="Calibri"/>
                <w:i/>
                <w:color w:val="002060"/>
                <w:sz w:val="14"/>
                <w:szCs w:val="14"/>
                <w:lang w:val="en-GB"/>
              </w:rPr>
              <w:t xml:space="preserve"> </w:t>
            </w:r>
            <w:r w:rsidRPr="001846DA">
              <w:rPr>
                <w:rFonts w:ascii="Calibri" w:hAnsi="Calibri" w:cs="Calibri"/>
                <w:i/>
                <w:color w:val="002060"/>
                <w:lang w:val="en-GB"/>
              </w:rPr>
              <w:t xml:space="preserve">with the claim of the issuer’s unsecured creditors. </w:t>
            </w:r>
          </w:p>
        </w:tc>
      </w:tr>
    </w:tbl>
    <w:p w:rsidR="002301F7" w:rsidRPr="00623FD2" w:rsidRDefault="00CE59ED" w:rsidP="006723DE">
      <w:pPr>
        <w:rPr>
          <w:rFonts w:cs="Times New Roman"/>
          <w:b/>
          <w:szCs w:val="26"/>
          <w:lang w:val="en-GB"/>
        </w:rPr>
      </w:pPr>
      <w:r>
        <w:rPr>
          <w:rFonts w:cs="Times New Roman"/>
          <w:szCs w:val="26"/>
          <w:lang w:val="en-GB"/>
        </w:rPr>
        <w:br/>
      </w:r>
      <w:r w:rsidR="002301F7" w:rsidRPr="00623FD2">
        <w:rPr>
          <w:rFonts w:cs="Times New Roman"/>
          <w:b/>
          <w:szCs w:val="26"/>
          <w:lang w:val="en-GB"/>
        </w:rPr>
        <w:t>Opinion DACB: fully compliant</w:t>
      </w:r>
    </w:p>
    <w:p w:rsidR="00195621" w:rsidRDefault="00797083" w:rsidP="006723DE">
      <w:pPr>
        <w:rPr>
          <w:rFonts w:cs="Times New Roman"/>
          <w:szCs w:val="26"/>
          <w:lang w:val="en-GB"/>
        </w:rPr>
      </w:pPr>
      <w:r>
        <w:rPr>
          <w:rFonts w:cs="Times New Roman"/>
          <w:szCs w:val="26"/>
          <w:lang w:val="en-GB"/>
        </w:rPr>
        <w:t>W</w:t>
      </w:r>
      <w:r w:rsidR="002301F7">
        <w:rPr>
          <w:rFonts w:cs="Times New Roman"/>
          <w:szCs w:val="26"/>
          <w:lang w:val="en-GB"/>
        </w:rPr>
        <w:t>e refer to Article 3.33</w:t>
      </w:r>
      <w:r w:rsidR="00582604">
        <w:rPr>
          <w:rFonts w:cs="Times New Roman"/>
          <w:szCs w:val="26"/>
          <w:lang w:val="en-GB"/>
        </w:rPr>
        <w:t>a(</w:t>
      </w:r>
      <w:r w:rsidR="002301F7">
        <w:rPr>
          <w:rFonts w:cs="Times New Roman"/>
          <w:szCs w:val="26"/>
          <w:lang w:val="en-GB"/>
        </w:rPr>
        <w:t>1a</w:t>
      </w:r>
      <w:r w:rsidR="00582604">
        <w:rPr>
          <w:rFonts w:cs="Times New Roman"/>
          <w:szCs w:val="26"/>
          <w:lang w:val="en-GB"/>
        </w:rPr>
        <w:t>)</w:t>
      </w:r>
      <w:r w:rsidR="003004A5">
        <w:rPr>
          <w:rFonts w:cs="Times New Roman"/>
          <w:szCs w:val="26"/>
          <w:lang w:val="en-GB"/>
        </w:rPr>
        <w:t xml:space="preserve"> of the </w:t>
      </w:r>
      <w:proofErr w:type="spellStart"/>
      <w:r w:rsidR="003004A5">
        <w:rPr>
          <w:rFonts w:cs="Times New Roman"/>
          <w:szCs w:val="26"/>
          <w:lang w:val="en-GB"/>
        </w:rPr>
        <w:t>Wft</w:t>
      </w:r>
      <w:proofErr w:type="spellEnd"/>
      <w:r w:rsidR="002301F7">
        <w:rPr>
          <w:rFonts w:cs="Times New Roman"/>
          <w:szCs w:val="26"/>
          <w:lang w:val="en-GB"/>
        </w:rPr>
        <w:t xml:space="preserve"> and Article </w:t>
      </w:r>
      <w:r w:rsidR="00582604">
        <w:rPr>
          <w:rFonts w:cs="Times New Roman"/>
          <w:szCs w:val="26"/>
          <w:lang w:val="en-GB"/>
        </w:rPr>
        <w:t>20b(</w:t>
      </w:r>
      <w:r w:rsidR="00C91D14">
        <w:rPr>
          <w:rFonts w:cs="Times New Roman"/>
          <w:szCs w:val="26"/>
          <w:lang w:val="en-GB"/>
        </w:rPr>
        <w:t>2</w:t>
      </w:r>
      <w:r w:rsidR="00582604">
        <w:rPr>
          <w:rFonts w:cs="Times New Roman"/>
          <w:szCs w:val="26"/>
          <w:lang w:val="en-GB"/>
        </w:rPr>
        <w:t>)</w:t>
      </w:r>
      <w:r>
        <w:rPr>
          <w:rFonts w:cs="Times New Roman"/>
          <w:szCs w:val="26"/>
          <w:lang w:val="en-GB"/>
        </w:rPr>
        <w:t xml:space="preserve"> of the Ur, both articles deal with the priority claim on the </w:t>
      </w:r>
      <w:r w:rsidR="009D43D2">
        <w:rPr>
          <w:rFonts w:cs="Times New Roman"/>
          <w:szCs w:val="26"/>
          <w:lang w:val="en-GB"/>
        </w:rPr>
        <w:t xml:space="preserve">cover pool </w:t>
      </w:r>
      <w:r>
        <w:rPr>
          <w:rFonts w:cs="Times New Roman"/>
          <w:szCs w:val="26"/>
          <w:lang w:val="en-GB"/>
        </w:rPr>
        <w:t xml:space="preserve">assets. </w:t>
      </w:r>
    </w:p>
    <w:p w:rsidR="00F9735B" w:rsidRDefault="00797083" w:rsidP="006723DE">
      <w:pPr>
        <w:rPr>
          <w:rFonts w:cs="Times New Roman"/>
          <w:szCs w:val="26"/>
          <w:lang w:val="en-GB"/>
        </w:rPr>
      </w:pPr>
      <w:r>
        <w:rPr>
          <w:rFonts w:cs="Times New Roman"/>
          <w:szCs w:val="26"/>
          <w:lang w:val="en-GB"/>
        </w:rPr>
        <w:t xml:space="preserve">The recourse to the </w:t>
      </w:r>
      <w:r w:rsidR="0073090B">
        <w:rPr>
          <w:rFonts w:cs="Times New Roman"/>
          <w:szCs w:val="26"/>
          <w:lang w:val="en-GB"/>
        </w:rPr>
        <w:t>cover pool and Issuer – the claim on the latter</w:t>
      </w:r>
      <w:r>
        <w:rPr>
          <w:rFonts w:cs="Times New Roman"/>
          <w:szCs w:val="26"/>
          <w:lang w:val="en-GB"/>
        </w:rPr>
        <w:t xml:space="preserve"> ranks </w:t>
      </w:r>
      <w:proofErr w:type="spellStart"/>
      <w:r>
        <w:rPr>
          <w:rFonts w:cs="Times New Roman"/>
          <w:szCs w:val="26"/>
          <w:lang w:val="en-GB"/>
        </w:rPr>
        <w:t>pari</w:t>
      </w:r>
      <w:proofErr w:type="spellEnd"/>
      <w:r>
        <w:rPr>
          <w:rFonts w:cs="Times New Roman"/>
          <w:szCs w:val="26"/>
          <w:lang w:val="en-GB"/>
        </w:rPr>
        <w:t xml:space="preserve"> </w:t>
      </w:r>
      <w:proofErr w:type="spellStart"/>
      <w:r>
        <w:rPr>
          <w:rFonts w:cs="Times New Roman"/>
          <w:szCs w:val="26"/>
          <w:lang w:val="en-GB"/>
        </w:rPr>
        <w:t>passu</w:t>
      </w:r>
      <w:proofErr w:type="spellEnd"/>
      <w:r>
        <w:rPr>
          <w:rFonts w:cs="Times New Roman"/>
          <w:szCs w:val="26"/>
          <w:lang w:val="en-GB"/>
        </w:rPr>
        <w:t xml:space="preserve"> with the claim of u</w:t>
      </w:r>
      <w:r w:rsidR="001120EA">
        <w:rPr>
          <w:rFonts w:cs="Times New Roman"/>
          <w:szCs w:val="26"/>
          <w:lang w:val="en-GB"/>
        </w:rPr>
        <w:t>n</w:t>
      </w:r>
      <w:r>
        <w:rPr>
          <w:rFonts w:cs="Times New Roman"/>
          <w:szCs w:val="26"/>
          <w:lang w:val="en-GB"/>
        </w:rPr>
        <w:t>secured</w:t>
      </w:r>
      <w:r w:rsidR="0073090B">
        <w:rPr>
          <w:rFonts w:cs="Times New Roman"/>
          <w:szCs w:val="26"/>
          <w:lang w:val="en-GB"/>
        </w:rPr>
        <w:t xml:space="preserve"> investors</w:t>
      </w:r>
      <w:r>
        <w:rPr>
          <w:rFonts w:cs="Times New Roman"/>
          <w:szCs w:val="26"/>
          <w:lang w:val="en-GB"/>
        </w:rPr>
        <w:t xml:space="preserve"> – is embedded in the Dutch (segregated) covered bond structure. The Dutch covered bond is issued as a senior unsecured bond </w:t>
      </w:r>
      <w:r w:rsidR="0073090B">
        <w:rPr>
          <w:rFonts w:cs="Times New Roman"/>
          <w:szCs w:val="26"/>
          <w:lang w:val="en-GB"/>
        </w:rPr>
        <w:t xml:space="preserve">of the issuer </w:t>
      </w:r>
      <w:r>
        <w:rPr>
          <w:rFonts w:cs="Times New Roman"/>
          <w:szCs w:val="26"/>
          <w:lang w:val="en-GB"/>
        </w:rPr>
        <w:t xml:space="preserve">with a guarantee from a Dutch special purpose vehicle (CBC- Covered Bond Company). </w:t>
      </w:r>
      <w:r w:rsidR="00D50330">
        <w:rPr>
          <w:rFonts w:cs="Times New Roman"/>
          <w:szCs w:val="26"/>
          <w:lang w:val="en-GB"/>
        </w:rPr>
        <w:t xml:space="preserve">The cover assets are transferred to the CBC as of inception. </w:t>
      </w:r>
      <w:r>
        <w:rPr>
          <w:rFonts w:cs="Times New Roman"/>
          <w:szCs w:val="26"/>
          <w:lang w:val="en-GB"/>
        </w:rPr>
        <w:t>If the issuer fails</w:t>
      </w:r>
      <w:r w:rsidR="00D50330">
        <w:rPr>
          <w:rFonts w:cs="Times New Roman"/>
          <w:szCs w:val="26"/>
          <w:lang w:val="en-GB"/>
        </w:rPr>
        <w:t>,</w:t>
      </w:r>
      <w:r>
        <w:rPr>
          <w:rFonts w:cs="Times New Roman"/>
          <w:szCs w:val="26"/>
          <w:lang w:val="en-GB"/>
        </w:rPr>
        <w:t xml:space="preserve"> the CBC – under its guarantee – will </w:t>
      </w:r>
      <w:r w:rsidR="00195621">
        <w:rPr>
          <w:rFonts w:cs="Times New Roman"/>
          <w:szCs w:val="26"/>
          <w:lang w:val="en-GB"/>
        </w:rPr>
        <w:t>make</w:t>
      </w:r>
      <w:r>
        <w:rPr>
          <w:rFonts w:cs="Times New Roman"/>
          <w:szCs w:val="26"/>
          <w:lang w:val="en-GB"/>
        </w:rPr>
        <w:t xml:space="preserve"> the payments </w:t>
      </w:r>
      <w:r w:rsidR="00D50330">
        <w:rPr>
          <w:rFonts w:cs="Times New Roman"/>
          <w:szCs w:val="26"/>
          <w:lang w:val="en-GB"/>
        </w:rPr>
        <w:t xml:space="preserve">(interest and redemptions) </w:t>
      </w:r>
      <w:r>
        <w:rPr>
          <w:rFonts w:cs="Times New Roman"/>
          <w:szCs w:val="26"/>
          <w:lang w:val="en-GB"/>
        </w:rPr>
        <w:t>to the investors from the proceeds of the cover assets</w:t>
      </w:r>
      <w:r w:rsidR="00D50330">
        <w:rPr>
          <w:rFonts w:cs="Times New Roman"/>
          <w:szCs w:val="26"/>
          <w:lang w:val="en-GB"/>
        </w:rPr>
        <w:t>.</w:t>
      </w:r>
      <w:r>
        <w:rPr>
          <w:rFonts w:cs="Times New Roman"/>
          <w:szCs w:val="26"/>
          <w:lang w:val="en-GB"/>
        </w:rPr>
        <w:t xml:space="preserve"> In case the proceeds from the cover assets are insufficient, the investor can claim </w:t>
      </w:r>
      <w:r w:rsidR="009D43D2">
        <w:rPr>
          <w:rFonts w:cs="Times New Roman"/>
          <w:szCs w:val="26"/>
          <w:lang w:val="en-GB"/>
        </w:rPr>
        <w:t xml:space="preserve">the </w:t>
      </w:r>
      <w:r>
        <w:rPr>
          <w:rFonts w:cs="Times New Roman"/>
          <w:szCs w:val="26"/>
          <w:lang w:val="en-GB"/>
        </w:rPr>
        <w:t xml:space="preserve">difference </w:t>
      </w:r>
      <w:r w:rsidR="0073090B">
        <w:rPr>
          <w:rFonts w:cs="Times New Roman"/>
          <w:szCs w:val="26"/>
          <w:lang w:val="en-GB"/>
        </w:rPr>
        <w:t xml:space="preserve"> via the Security Trustee </w:t>
      </w:r>
      <w:r w:rsidR="009D43D2">
        <w:rPr>
          <w:rFonts w:cs="Times New Roman"/>
          <w:szCs w:val="26"/>
          <w:lang w:val="en-GB"/>
        </w:rPr>
        <w:t>from the insolvent estate</w:t>
      </w:r>
      <w:r w:rsidR="003004A5">
        <w:rPr>
          <w:rFonts w:cs="Times New Roman"/>
          <w:szCs w:val="26"/>
          <w:lang w:val="en-GB"/>
        </w:rPr>
        <w:t xml:space="preserve">. </w:t>
      </w:r>
      <w:r w:rsidR="00D50330">
        <w:rPr>
          <w:rFonts w:cs="Times New Roman"/>
          <w:szCs w:val="26"/>
          <w:lang w:val="en-GB"/>
        </w:rPr>
        <w:t xml:space="preserve"> </w:t>
      </w:r>
    </w:p>
    <w:p w:rsidR="007A31F6" w:rsidRDefault="007A31F6" w:rsidP="006723DE">
      <w:pPr>
        <w:rPr>
          <w:rFonts w:cs="Times New Roman"/>
          <w:szCs w:val="26"/>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D83B4E" w:rsidRPr="000B7EAE" w:rsidTr="001846DA">
        <w:trPr>
          <w:trHeight w:val="110"/>
        </w:trPr>
        <w:tc>
          <w:tcPr>
            <w:tcW w:w="9037" w:type="dxa"/>
          </w:tcPr>
          <w:p w:rsidR="00C678BB" w:rsidRPr="001846DA" w:rsidRDefault="00C678BB" w:rsidP="00D83B4E">
            <w:pPr>
              <w:autoSpaceDE w:val="0"/>
              <w:autoSpaceDN w:val="0"/>
              <w:adjustRightInd w:val="0"/>
              <w:spacing w:after="0" w:line="240" w:lineRule="auto"/>
              <w:rPr>
                <w:rFonts w:ascii="Calibri" w:hAnsi="Calibri" w:cs="Calibri"/>
                <w:b/>
                <w:bCs/>
                <w:i/>
                <w:color w:val="0070C0"/>
                <w:sz w:val="32"/>
                <w:lang w:val="en-GB"/>
              </w:rPr>
            </w:pPr>
            <w:r w:rsidRPr="001846DA">
              <w:rPr>
                <w:b/>
                <w:bCs/>
                <w:i/>
                <w:color w:val="0070C0"/>
                <w:sz w:val="28"/>
                <w:szCs w:val="23"/>
                <w:lang w:val="en-GB"/>
              </w:rPr>
              <w:lastRenderedPageBreak/>
              <w:t>Segregation of cover assets and bankruptcy remoteness of covered bonds;</w:t>
            </w:r>
          </w:p>
          <w:p w:rsidR="00C678BB" w:rsidRPr="001846DA" w:rsidRDefault="00C678BB" w:rsidP="00D83B4E">
            <w:pPr>
              <w:autoSpaceDE w:val="0"/>
              <w:autoSpaceDN w:val="0"/>
              <w:adjustRightInd w:val="0"/>
              <w:spacing w:after="0" w:line="240" w:lineRule="auto"/>
              <w:rPr>
                <w:rFonts w:ascii="Calibri" w:hAnsi="Calibri" w:cs="Calibri"/>
                <w:b/>
                <w:bCs/>
                <w:i/>
                <w:color w:val="0070C0"/>
                <w:sz w:val="24"/>
                <w:lang w:val="en-GB"/>
              </w:rPr>
            </w:pPr>
          </w:p>
          <w:p w:rsidR="00D83B4E" w:rsidRPr="001846DA" w:rsidRDefault="00D83B4E" w:rsidP="00D83B4E">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2 - A: Segregation of cover assets </w:t>
            </w:r>
          </w:p>
        </w:tc>
      </w:tr>
      <w:tr w:rsidR="00D83B4E" w:rsidRPr="000B7EAE" w:rsidTr="001846DA">
        <w:trPr>
          <w:trHeight w:val="385"/>
        </w:trPr>
        <w:tc>
          <w:tcPr>
            <w:tcW w:w="9037" w:type="dxa"/>
          </w:tcPr>
          <w:p w:rsidR="00D83B4E" w:rsidRPr="001846DA" w:rsidRDefault="00D83B4E" w:rsidP="00D83B4E">
            <w:pPr>
              <w:autoSpaceDE w:val="0"/>
              <w:autoSpaceDN w:val="0"/>
              <w:adjustRightInd w:val="0"/>
              <w:spacing w:after="0" w:line="240" w:lineRule="auto"/>
              <w:rPr>
                <w:rFonts w:ascii="Calibri" w:hAnsi="Calibri" w:cs="Calibri"/>
                <w:i/>
                <w:color w:val="000000"/>
                <w:sz w:val="16"/>
                <w:szCs w:val="16"/>
                <w:lang w:val="en-GB"/>
              </w:rPr>
            </w:pPr>
          </w:p>
          <w:p w:rsidR="00D83B4E" w:rsidRPr="001846DA" w:rsidRDefault="00D83B4E" w:rsidP="00D83B4E">
            <w:pPr>
              <w:autoSpaceDE w:val="0"/>
              <w:autoSpaceDN w:val="0"/>
              <w:adjustRightInd w:val="0"/>
              <w:spacing w:after="0" w:line="240" w:lineRule="auto"/>
              <w:rPr>
                <w:i/>
                <w:color w:val="002060"/>
                <w:lang w:val="en-GB"/>
              </w:rPr>
            </w:pPr>
            <w:r w:rsidRPr="001846DA">
              <w:rPr>
                <w:rFonts w:ascii="Calibri" w:hAnsi="Calibri" w:cs="Calibri"/>
                <w:i/>
                <w:color w:val="002060"/>
                <w:lang w:val="en-GB"/>
              </w:rPr>
              <w:t xml:space="preserve">The identification and effective segregation of all the assets over which the investor has a priority claim should be ensured, depending on the issuer model adopted at the national level, either by the registration of the cover assets into a cover register and / or by the transfer of the cover assets to a </w:t>
            </w:r>
            <w:r w:rsidRPr="001846DA">
              <w:rPr>
                <w:i/>
                <w:color w:val="002060"/>
                <w:lang w:val="en-GB"/>
              </w:rPr>
              <w:t xml:space="preserve">special entity (SPV or specialised institution). The covered bond legal/regulatory framework should ensure that the establishment of the cover register and/or the transfer of the (cover) assets to a special entity result in legally binding and enforceable arrangements, including in the event of default or resolution of the issuer. </w:t>
            </w:r>
          </w:p>
          <w:p w:rsidR="00D83B4E" w:rsidRPr="001846DA" w:rsidRDefault="00D83B4E" w:rsidP="00D83B4E">
            <w:pPr>
              <w:autoSpaceDE w:val="0"/>
              <w:autoSpaceDN w:val="0"/>
              <w:adjustRightInd w:val="0"/>
              <w:spacing w:after="0" w:line="240" w:lineRule="auto"/>
              <w:rPr>
                <w:i/>
                <w:color w:val="002060"/>
                <w:sz w:val="16"/>
                <w:szCs w:val="16"/>
                <w:lang w:val="en-GB"/>
              </w:rPr>
            </w:pPr>
          </w:p>
          <w:p w:rsidR="00D83B4E" w:rsidRPr="001846DA" w:rsidRDefault="00D83B4E" w:rsidP="00D83B4E">
            <w:pPr>
              <w:autoSpaceDE w:val="0"/>
              <w:autoSpaceDN w:val="0"/>
              <w:adjustRightInd w:val="0"/>
              <w:spacing w:after="0" w:line="240" w:lineRule="auto"/>
              <w:rPr>
                <w:rFonts w:ascii="Calibri" w:hAnsi="Calibri" w:cs="Calibri"/>
                <w:i/>
                <w:color w:val="000000"/>
                <w:lang w:val="en-GB"/>
              </w:rPr>
            </w:pPr>
            <w:r w:rsidRPr="001846DA">
              <w:rPr>
                <w:i/>
                <w:color w:val="002060"/>
                <w:lang w:val="en-GB"/>
              </w:rPr>
              <w:t xml:space="preserve">The segregation arrangement should include all primary assets covering the covered bonds as well as substitution assets and derivatives entered into to hedge the risks arising in the covered bond programme and registered in the cover pool. </w:t>
            </w:r>
          </w:p>
        </w:tc>
      </w:tr>
    </w:tbl>
    <w:p w:rsidR="00EA1BD4" w:rsidRPr="0023704B" w:rsidRDefault="00CE59ED" w:rsidP="006723DE">
      <w:pPr>
        <w:rPr>
          <w:rFonts w:cs="Times New Roman"/>
          <w:b/>
          <w:szCs w:val="26"/>
          <w:lang w:val="en-GB"/>
        </w:rPr>
      </w:pPr>
      <w:r>
        <w:rPr>
          <w:rFonts w:cs="Times New Roman"/>
          <w:b/>
          <w:szCs w:val="26"/>
          <w:lang w:val="en-GB"/>
        </w:rPr>
        <w:br/>
      </w:r>
      <w:r w:rsidR="000B642F" w:rsidRPr="0023704B">
        <w:rPr>
          <w:rFonts w:cs="Times New Roman"/>
          <w:b/>
          <w:szCs w:val="26"/>
          <w:lang w:val="en-GB"/>
        </w:rPr>
        <w:t>Opinion DACB: fully compliant</w:t>
      </w:r>
    </w:p>
    <w:p w:rsidR="00F109D9" w:rsidRDefault="00582604" w:rsidP="00582604">
      <w:pPr>
        <w:rPr>
          <w:rFonts w:cs="Times New Roman"/>
          <w:szCs w:val="26"/>
          <w:lang w:val="en-GB"/>
        </w:rPr>
      </w:pPr>
      <w:r>
        <w:rPr>
          <w:rFonts w:cs="Times New Roman"/>
          <w:szCs w:val="26"/>
          <w:lang w:val="en-GB"/>
        </w:rPr>
        <w:t xml:space="preserve">The EBA refers to two different models for asset segregation: 1.) registration in a cover register and 2.) </w:t>
      </w:r>
      <w:r w:rsidR="00B56751">
        <w:rPr>
          <w:rFonts w:cs="Times New Roman"/>
          <w:szCs w:val="26"/>
          <w:lang w:val="en-GB"/>
        </w:rPr>
        <w:t xml:space="preserve">transfer to a special </w:t>
      </w:r>
      <w:r>
        <w:rPr>
          <w:rFonts w:cs="Times New Roman"/>
          <w:szCs w:val="26"/>
          <w:lang w:val="en-GB"/>
        </w:rPr>
        <w:t>entity. In the Netherlands it is the latter, cover assets are transferred to a bankruptcy remote entity, the Covered Bond Company (</w:t>
      </w:r>
      <w:r w:rsidR="00F9735B">
        <w:rPr>
          <w:rFonts w:cs="Times New Roman"/>
          <w:szCs w:val="26"/>
          <w:lang w:val="en-GB"/>
        </w:rPr>
        <w:t>see also Best Practice 1</w:t>
      </w:r>
      <w:r>
        <w:rPr>
          <w:rFonts w:cs="Times New Roman"/>
          <w:szCs w:val="26"/>
          <w:lang w:val="en-GB"/>
        </w:rPr>
        <w:t>)</w:t>
      </w:r>
      <w:r w:rsidR="008429AC">
        <w:rPr>
          <w:rFonts w:cs="Times New Roman"/>
          <w:szCs w:val="26"/>
          <w:lang w:val="en-GB"/>
        </w:rPr>
        <w:t xml:space="preserve">. </w:t>
      </w:r>
      <w:r w:rsidR="0023704B">
        <w:rPr>
          <w:rFonts w:cs="Times New Roman"/>
          <w:szCs w:val="26"/>
          <w:lang w:val="en-GB"/>
        </w:rPr>
        <w:t xml:space="preserve"> </w:t>
      </w:r>
    </w:p>
    <w:p w:rsidR="00DE5B55" w:rsidRDefault="002332A4" w:rsidP="008429AC">
      <w:pPr>
        <w:rPr>
          <w:rFonts w:cs="Times New Roman"/>
          <w:szCs w:val="26"/>
          <w:lang w:val="en-GB"/>
        </w:rPr>
      </w:pPr>
      <w:r>
        <w:rPr>
          <w:rFonts w:cs="Times New Roman"/>
          <w:szCs w:val="26"/>
          <w:lang w:val="en-GB"/>
        </w:rPr>
        <w:t>The related Articles in the Dutch law a</w:t>
      </w:r>
      <w:r w:rsidR="00F109D9">
        <w:rPr>
          <w:rFonts w:cs="Times New Roman"/>
          <w:szCs w:val="26"/>
          <w:lang w:val="en-GB"/>
        </w:rPr>
        <w:t xml:space="preserve">re: Article  3:33a, 1 of the </w:t>
      </w:r>
      <w:proofErr w:type="spellStart"/>
      <w:r w:rsidR="00F109D9">
        <w:rPr>
          <w:rFonts w:cs="Times New Roman"/>
          <w:szCs w:val="26"/>
          <w:lang w:val="en-GB"/>
        </w:rPr>
        <w:t>Wft</w:t>
      </w:r>
      <w:proofErr w:type="spellEnd"/>
      <w:r>
        <w:rPr>
          <w:rFonts w:cs="Times New Roman"/>
          <w:szCs w:val="26"/>
          <w:lang w:val="en-GB"/>
        </w:rPr>
        <w:t xml:space="preserve">, Article 40d(1, 2a) of the </w:t>
      </w:r>
      <w:proofErr w:type="spellStart"/>
      <w:r>
        <w:rPr>
          <w:rFonts w:cs="Times New Roman"/>
          <w:szCs w:val="26"/>
          <w:lang w:val="en-GB"/>
        </w:rPr>
        <w:t>Bpr</w:t>
      </w:r>
      <w:proofErr w:type="spellEnd"/>
      <w:r>
        <w:rPr>
          <w:rFonts w:cs="Times New Roman"/>
          <w:szCs w:val="26"/>
          <w:lang w:val="en-GB"/>
        </w:rPr>
        <w:t xml:space="preserve"> that deals with segregation of assets and Article 20a(</w:t>
      </w:r>
      <w:proofErr w:type="spellStart"/>
      <w:r>
        <w:rPr>
          <w:rFonts w:cs="Times New Roman"/>
          <w:szCs w:val="26"/>
          <w:lang w:val="en-GB"/>
        </w:rPr>
        <w:t>a,b</w:t>
      </w:r>
      <w:proofErr w:type="spellEnd"/>
      <w:r>
        <w:rPr>
          <w:rFonts w:cs="Times New Roman"/>
          <w:szCs w:val="26"/>
          <w:lang w:val="en-GB"/>
        </w:rPr>
        <w:t>) of the Ur</w:t>
      </w:r>
      <w:r w:rsidR="00DE5B55">
        <w:rPr>
          <w:rFonts w:cs="Times New Roman"/>
          <w:szCs w:val="26"/>
          <w:lang w:val="en-GB"/>
        </w:rPr>
        <w:t xml:space="preserve">. </w:t>
      </w:r>
      <w:r>
        <w:rPr>
          <w:rFonts w:cs="Times New Roman"/>
          <w:szCs w:val="26"/>
          <w:lang w:val="en-GB"/>
        </w:rPr>
        <w:t xml:space="preserve"> </w:t>
      </w:r>
    </w:p>
    <w:p w:rsidR="0087687A" w:rsidRDefault="0087687A" w:rsidP="008429AC">
      <w:pPr>
        <w:rPr>
          <w:rFonts w:cs="Times New Roman"/>
          <w:szCs w:val="26"/>
          <w:lang w:val="en-GB"/>
        </w:rPr>
      </w:pPr>
      <w:r>
        <w:rPr>
          <w:noProof/>
          <w:lang w:val="en-GB" w:eastAsia="en-GB"/>
        </w:rPr>
        <w:drawing>
          <wp:inline distT="0" distB="0" distL="0" distR="0" wp14:anchorId="518CFECF" wp14:editId="1F6E5581">
            <wp:extent cx="5800725" cy="27432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00725" cy="2743200"/>
                    </a:xfrm>
                    <a:prstGeom prst="rect">
                      <a:avLst/>
                    </a:prstGeom>
                  </pic:spPr>
                </pic:pic>
              </a:graphicData>
            </a:graphic>
          </wp:inline>
        </w:drawing>
      </w:r>
    </w:p>
    <w:p w:rsidR="008429AC" w:rsidRPr="0023704B" w:rsidRDefault="008429AC" w:rsidP="008429AC">
      <w:pPr>
        <w:rPr>
          <w:rFonts w:cs="Times New Roman"/>
          <w:b/>
          <w:szCs w:val="26"/>
          <w:lang w:val="en-GB"/>
        </w:rPr>
      </w:pPr>
      <w:r w:rsidRPr="0023704B">
        <w:rPr>
          <w:rFonts w:cs="Times New Roman"/>
          <w:b/>
          <w:szCs w:val="26"/>
          <w:lang w:val="en-GB"/>
        </w:rPr>
        <w:t>Opinion DACB: fully compliant</w:t>
      </w:r>
    </w:p>
    <w:p w:rsidR="00093098" w:rsidRDefault="00EF3EFD" w:rsidP="00093098">
      <w:pPr>
        <w:rPr>
          <w:rFonts w:cs="Times New Roman"/>
          <w:szCs w:val="26"/>
          <w:lang w:val="en-GB"/>
        </w:rPr>
      </w:pPr>
      <w:r>
        <w:rPr>
          <w:rFonts w:cs="Times New Roman"/>
          <w:szCs w:val="26"/>
          <w:lang w:val="en-GB"/>
        </w:rPr>
        <w:t xml:space="preserve">This Best Practice refers to three </w:t>
      </w:r>
      <w:r w:rsidR="002332A4">
        <w:rPr>
          <w:rFonts w:cs="Times New Roman"/>
          <w:szCs w:val="26"/>
          <w:lang w:val="en-GB"/>
        </w:rPr>
        <w:t>items</w:t>
      </w:r>
      <w:r>
        <w:rPr>
          <w:rFonts w:cs="Times New Roman"/>
          <w:szCs w:val="26"/>
          <w:lang w:val="en-GB"/>
        </w:rPr>
        <w:t xml:space="preserve">: 1.) no </w:t>
      </w:r>
      <w:r w:rsidR="00494576">
        <w:rPr>
          <w:rFonts w:cs="Times New Roman"/>
          <w:szCs w:val="26"/>
          <w:lang w:val="en-GB"/>
        </w:rPr>
        <w:t xml:space="preserve">automatic </w:t>
      </w:r>
      <w:r>
        <w:rPr>
          <w:rFonts w:cs="Times New Roman"/>
          <w:szCs w:val="26"/>
          <w:lang w:val="en-GB"/>
        </w:rPr>
        <w:t xml:space="preserve">acceleration upon issuer’s default, 2.) priority claim of covered bond investors and parties that rank </w:t>
      </w:r>
      <w:r w:rsidR="00F57F89">
        <w:rPr>
          <w:rFonts w:cs="Times New Roman"/>
          <w:szCs w:val="26"/>
          <w:lang w:val="en-GB"/>
        </w:rPr>
        <w:t xml:space="preserve">at least </w:t>
      </w:r>
      <w:proofErr w:type="spellStart"/>
      <w:r>
        <w:rPr>
          <w:rFonts w:cs="Times New Roman"/>
          <w:szCs w:val="26"/>
          <w:lang w:val="en-GB"/>
        </w:rPr>
        <w:t>pari</w:t>
      </w:r>
      <w:proofErr w:type="spellEnd"/>
      <w:r>
        <w:rPr>
          <w:rFonts w:cs="Times New Roman"/>
          <w:szCs w:val="26"/>
          <w:lang w:val="en-GB"/>
        </w:rPr>
        <w:t xml:space="preserve"> </w:t>
      </w:r>
      <w:proofErr w:type="spellStart"/>
      <w:r>
        <w:rPr>
          <w:rFonts w:cs="Times New Roman"/>
          <w:szCs w:val="26"/>
          <w:lang w:val="en-GB"/>
        </w:rPr>
        <w:t>passu</w:t>
      </w:r>
      <w:proofErr w:type="spellEnd"/>
      <w:r>
        <w:rPr>
          <w:rFonts w:cs="Times New Roman"/>
          <w:szCs w:val="26"/>
          <w:lang w:val="en-GB"/>
        </w:rPr>
        <w:t xml:space="preserve"> and 3.) </w:t>
      </w:r>
      <w:r w:rsidR="00F57F89">
        <w:rPr>
          <w:rFonts w:cs="Times New Roman"/>
          <w:szCs w:val="26"/>
          <w:lang w:val="en-GB"/>
        </w:rPr>
        <w:t xml:space="preserve">a plan on </w:t>
      </w:r>
      <w:r>
        <w:rPr>
          <w:rFonts w:cs="Times New Roman"/>
          <w:szCs w:val="26"/>
          <w:lang w:val="en-GB"/>
        </w:rPr>
        <w:t>operation</w:t>
      </w:r>
      <w:r w:rsidR="00F9735B">
        <w:rPr>
          <w:rFonts w:cs="Times New Roman"/>
          <w:szCs w:val="26"/>
          <w:lang w:val="en-GB"/>
        </w:rPr>
        <w:t>al</w:t>
      </w:r>
      <w:r>
        <w:rPr>
          <w:rFonts w:cs="Times New Roman"/>
          <w:szCs w:val="26"/>
          <w:lang w:val="en-GB"/>
        </w:rPr>
        <w:t xml:space="preserve"> procedures post issuer default.</w:t>
      </w:r>
    </w:p>
    <w:p w:rsidR="00093098" w:rsidRDefault="00093098" w:rsidP="00CA6EC8">
      <w:pPr>
        <w:rPr>
          <w:rFonts w:cs="Times New Roman"/>
          <w:szCs w:val="26"/>
          <w:lang w:val="en-GB"/>
        </w:rPr>
      </w:pPr>
      <w:r w:rsidRPr="00093098">
        <w:rPr>
          <w:szCs w:val="18"/>
          <w:lang w:val="en-GB"/>
        </w:rPr>
        <w:t xml:space="preserve">The Dutch covered bond programs are set up in such way that the after a default of the issuer the CBC </w:t>
      </w:r>
      <w:r>
        <w:rPr>
          <w:szCs w:val="18"/>
          <w:lang w:val="en-GB"/>
        </w:rPr>
        <w:t xml:space="preserve">is </w:t>
      </w:r>
      <w:r w:rsidRPr="00093098">
        <w:rPr>
          <w:szCs w:val="18"/>
          <w:lang w:val="en-GB"/>
        </w:rPr>
        <w:t>required to make the</w:t>
      </w:r>
      <w:r>
        <w:rPr>
          <w:szCs w:val="18"/>
          <w:lang w:val="en-GB"/>
        </w:rPr>
        <w:t xml:space="preserve"> scheduled </w:t>
      </w:r>
      <w:r w:rsidRPr="00093098">
        <w:rPr>
          <w:szCs w:val="18"/>
          <w:lang w:val="en-GB"/>
        </w:rPr>
        <w:t>interest and notional payments</w:t>
      </w:r>
      <w:r>
        <w:rPr>
          <w:szCs w:val="18"/>
          <w:lang w:val="en-GB"/>
        </w:rPr>
        <w:t xml:space="preserve"> in a</w:t>
      </w:r>
      <w:r w:rsidRPr="00093098">
        <w:rPr>
          <w:szCs w:val="18"/>
          <w:lang w:val="en-GB"/>
        </w:rPr>
        <w:t xml:space="preserve"> timely </w:t>
      </w:r>
      <w:r>
        <w:rPr>
          <w:szCs w:val="18"/>
          <w:lang w:val="en-GB"/>
        </w:rPr>
        <w:t xml:space="preserve">manner. </w:t>
      </w:r>
      <w:r w:rsidR="00545D22">
        <w:rPr>
          <w:szCs w:val="18"/>
          <w:lang w:val="en-GB"/>
        </w:rPr>
        <w:t xml:space="preserve">Investors are </w:t>
      </w:r>
      <w:r w:rsidR="00545D22">
        <w:rPr>
          <w:szCs w:val="18"/>
          <w:lang w:val="en-GB"/>
        </w:rPr>
        <w:lastRenderedPageBreak/>
        <w:t>therefore paid in priority from the cover pool over unsecured creditors of the issuer. N</w:t>
      </w:r>
      <w:r w:rsidRPr="00093098">
        <w:rPr>
          <w:szCs w:val="18"/>
          <w:lang w:val="en-GB"/>
        </w:rPr>
        <w:t>o accele</w:t>
      </w:r>
      <w:r w:rsidR="00545D22">
        <w:rPr>
          <w:szCs w:val="18"/>
          <w:lang w:val="en-GB"/>
        </w:rPr>
        <w:t xml:space="preserve">ration of the covered bonds </w:t>
      </w:r>
      <w:r w:rsidRPr="00093098">
        <w:rPr>
          <w:szCs w:val="18"/>
          <w:lang w:val="en-GB"/>
        </w:rPr>
        <w:t xml:space="preserve">takes place in that event. </w:t>
      </w:r>
    </w:p>
    <w:p w:rsidR="00CA6EC8" w:rsidRDefault="00CA6EC8" w:rsidP="00CA6EC8">
      <w:pPr>
        <w:rPr>
          <w:rFonts w:cs="Times New Roman"/>
          <w:szCs w:val="26"/>
          <w:lang w:val="en-GB"/>
        </w:rPr>
      </w:pPr>
      <w:r>
        <w:rPr>
          <w:rFonts w:cs="Times New Roman"/>
          <w:szCs w:val="26"/>
          <w:lang w:val="en-GB"/>
        </w:rPr>
        <w:t xml:space="preserve">With respect to the </w:t>
      </w:r>
      <w:r w:rsidR="00C91D14">
        <w:rPr>
          <w:rFonts w:cs="Times New Roman"/>
          <w:szCs w:val="26"/>
          <w:lang w:val="en-GB"/>
        </w:rPr>
        <w:t>priority claim of the covered bonds investors – and partie</w:t>
      </w:r>
      <w:r w:rsidR="00F9735B">
        <w:rPr>
          <w:rFonts w:cs="Times New Roman"/>
          <w:szCs w:val="26"/>
          <w:lang w:val="en-GB"/>
        </w:rPr>
        <w:t xml:space="preserve">s that rank </w:t>
      </w:r>
      <w:r w:rsidR="00F57F89">
        <w:rPr>
          <w:rFonts w:cs="Times New Roman"/>
          <w:szCs w:val="26"/>
          <w:lang w:val="en-GB"/>
        </w:rPr>
        <w:t xml:space="preserve">at least </w:t>
      </w:r>
      <w:proofErr w:type="spellStart"/>
      <w:r w:rsidR="00F9735B">
        <w:rPr>
          <w:rFonts w:cs="Times New Roman"/>
          <w:szCs w:val="26"/>
          <w:lang w:val="en-GB"/>
        </w:rPr>
        <w:t>pari</w:t>
      </w:r>
      <w:proofErr w:type="spellEnd"/>
      <w:r w:rsidR="00F9735B">
        <w:rPr>
          <w:rFonts w:cs="Times New Roman"/>
          <w:szCs w:val="26"/>
          <w:lang w:val="en-GB"/>
        </w:rPr>
        <w:t xml:space="preserve"> </w:t>
      </w:r>
      <w:proofErr w:type="spellStart"/>
      <w:r w:rsidR="00F9735B">
        <w:rPr>
          <w:rFonts w:cs="Times New Roman"/>
          <w:szCs w:val="26"/>
          <w:lang w:val="en-GB"/>
        </w:rPr>
        <w:t>passu</w:t>
      </w:r>
      <w:proofErr w:type="spellEnd"/>
      <w:r w:rsidR="00F9735B">
        <w:rPr>
          <w:rFonts w:cs="Times New Roman"/>
          <w:szCs w:val="26"/>
          <w:lang w:val="en-GB"/>
        </w:rPr>
        <w:t xml:space="preserve"> with these investors</w:t>
      </w:r>
      <w:r w:rsidR="00C91D14">
        <w:rPr>
          <w:rFonts w:cs="Times New Roman"/>
          <w:szCs w:val="26"/>
          <w:lang w:val="en-GB"/>
        </w:rPr>
        <w:t xml:space="preserve">  –  we refer to our comm</w:t>
      </w:r>
      <w:r w:rsidR="00F9735B">
        <w:rPr>
          <w:rFonts w:cs="Times New Roman"/>
          <w:szCs w:val="26"/>
          <w:lang w:val="en-GB"/>
        </w:rPr>
        <w:t>ents under Best Practice 1 (</w:t>
      </w:r>
      <w:r>
        <w:rPr>
          <w:rFonts w:cs="Times New Roman"/>
          <w:szCs w:val="26"/>
          <w:lang w:val="en-GB"/>
        </w:rPr>
        <w:t>Article</w:t>
      </w:r>
      <w:r w:rsidR="00C91D14">
        <w:rPr>
          <w:rFonts w:cs="Times New Roman"/>
          <w:szCs w:val="26"/>
          <w:lang w:val="en-GB"/>
        </w:rPr>
        <w:t>s</w:t>
      </w:r>
      <w:r>
        <w:rPr>
          <w:rFonts w:cs="Times New Roman"/>
          <w:szCs w:val="26"/>
          <w:lang w:val="en-GB"/>
        </w:rPr>
        <w:t xml:space="preserve"> 3</w:t>
      </w:r>
      <w:r w:rsidR="00C91D14">
        <w:rPr>
          <w:rFonts w:cs="Times New Roman"/>
          <w:szCs w:val="26"/>
          <w:lang w:val="en-GB"/>
        </w:rPr>
        <w:t xml:space="preserve">.33a(1a) of the Law and </w:t>
      </w:r>
      <w:r>
        <w:rPr>
          <w:rFonts w:cs="Times New Roman"/>
          <w:szCs w:val="26"/>
          <w:lang w:val="en-GB"/>
        </w:rPr>
        <w:t>20</w:t>
      </w:r>
      <w:r w:rsidR="00C91D14">
        <w:rPr>
          <w:rFonts w:cs="Times New Roman"/>
          <w:szCs w:val="26"/>
          <w:lang w:val="en-GB"/>
        </w:rPr>
        <w:t>b(2) of the Ur)</w:t>
      </w:r>
      <w:r>
        <w:rPr>
          <w:rFonts w:cs="Times New Roman"/>
          <w:szCs w:val="26"/>
          <w:lang w:val="en-GB"/>
        </w:rPr>
        <w:t>.</w:t>
      </w:r>
    </w:p>
    <w:p w:rsidR="008429AC" w:rsidRDefault="00C43F50" w:rsidP="008429AC">
      <w:pPr>
        <w:rPr>
          <w:rFonts w:cs="Times New Roman"/>
          <w:szCs w:val="26"/>
          <w:lang w:val="en-GB"/>
        </w:rPr>
      </w:pPr>
      <w:r>
        <w:rPr>
          <w:rFonts w:cs="Times New Roman"/>
          <w:szCs w:val="26"/>
          <w:lang w:val="en-GB"/>
        </w:rPr>
        <w:t xml:space="preserve">With respect to the operational procedures post-issuer default we refer to Article 20a(c) of the Ur. This article </w:t>
      </w:r>
      <w:r w:rsidR="00F9735B">
        <w:rPr>
          <w:rFonts w:cs="Times New Roman"/>
          <w:szCs w:val="26"/>
          <w:lang w:val="en-GB"/>
        </w:rPr>
        <w:t xml:space="preserve">requires </w:t>
      </w:r>
      <w:r>
        <w:rPr>
          <w:rFonts w:cs="Times New Roman"/>
          <w:szCs w:val="26"/>
          <w:lang w:val="en-GB"/>
        </w:rPr>
        <w:t>Dutch issuers to develop a plan for the management of the cover pool post</w:t>
      </w:r>
      <w:r w:rsidR="00C91D14">
        <w:rPr>
          <w:rFonts w:cs="Times New Roman"/>
          <w:szCs w:val="26"/>
          <w:lang w:val="en-GB"/>
        </w:rPr>
        <w:t xml:space="preserve"> </w:t>
      </w:r>
      <w:r>
        <w:rPr>
          <w:rFonts w:cs="Times New Roman"/>
          <w:szCs w:val="26"/>
          <w:lang w:val="en-GB"/>
        </w:rPr>
        <w:t xml:space="preserve">issuer default. </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D83B4E" w:rsidRPr="000B7EAE" w:rsidTr="001846DA">
        <w:trPr>
          <w:trHeight w:val="251"/>
        </w:trPr>
        <w:tc>
          <w:tcPr>
            <w:tcW w:w="9037" w:type="dxa"/>
          </w:tcPr>
          <w:p w:rsidR="00D83B4E" w:rsidRPr="001846DA" w:rsidRDefault="00D83B4E" w:rsidP="00D83B4E">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2 - C: Administration of the covered bond programme post issuer’s default or resolution </w:t>
            </w:r>
          </w:p>
        </w:tc>
      </w:tr>
      <w:tr w:rsidR="00D83B4E" w:rsidRPr="000B7EAE" w:rsidTr="001846DA">
        <w:trPr>
          <w:trHeight w:val="1324"/>
        </w:trPr>
        <w:tc>
          <w:tcPr>
            <w:tcW w:w="9037" w:type="dxa"/>
          </w:tcPr>
          <w:p w:rsidR="00D83B4E" w:rsidRPr="001846DA" w:rsidRDefault="00D83B4E" w:rsidP="00D83B4E">
            <w:pPr>
              <w:autoSpaceDE w:val="0"/>
              <w:autoSpaceDN w:val="0"/>
              <w:adjustRightInd w:val="0"/>
              <w:spacing w:after="0" w:line="240" w:lineRule="auto"/>
              <w:rPr>
                <w:rFonts w:ascii="Calibri" w:hAnsi="Calibri" w:cs="Calibri"/>
                <w:i/>
                <w:color w:val="002060"/>
                <w:sz w:val="16"/>
                <w:szCs w:val="16"/>
                <w:lang w:val="en-GB"/>
              </w:rPr>
            </w:pPr>
          </w:p>
          <w:p w:rsidR="00D83B4E" w:rsidRPr="001846DA" w:rsidRDefault="00D83B4E" w:rsidP="00D83B4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provide that upon issuer’s default or resolution the covered bond programme is managed in an independent way and in the preferential interest of the covered bond investor. </w:t>
            </w:r>
          </w:p>
          <w:p w:rsidR="00D83B4E" w:rsidRPr="001846DA" w:rsidRDefault="00D83B4E" w:rsidP="00D83B4E">
            <w:pPr>
              <w:autoSpaceDE w:val="0"/>
              <w:autoSpaceDN w:val="0"/>
              <w:adjustRightInd w:val="0"/>
              <w:spacing w:after="0" w:line="240" w:lineRule="auto"/>
              <w:rPr>
                <w:rFonts w:ascii="Calibri" w:hAnsi="Calibri" w:cs="Calibri"/>
                <w:i/>
                <w:color w:val="002060"/>
                <w:sz w:val="16"/>
                <w:szCs w:val="16"/>
                <w:lang w:val="en-GB"/>
              </w:rPr>
            </w:pPr>
          </w:p>
          <w:p w:rsidR="00D83B4E" w:rsidRPr="001846DA" w:rsidRDefault="00D83B4E" w:rsidP="00D83B4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provide for clear and sufficiently detailed provisions over the duties and powers of the administrative function so as to ensure that the latter can take all action which may be necessary for the full realisation of the interests of the covered bonds investor, while maintaining a high level of legal clarity and transparency vis-à-vis the investor over the covered bond management in scenarios of potential distress such as the issuer’s default or resolution. </w:t>
            </w:r>
          </w:p>
        </w:tc>
      </w:tr>
    </w:tbl>
    <w:p w:rsidR="0023704B" w:rsidRPr="0023704B" w:rsidRDefault="00CE59ED" w:rsidP="0023704B">
      <w:pPr>
        <w:rPr>
          <w:rFonts w:cs="Times New Roman"/>
          <w:b/>
          <w:szCs w:val="26"/>
          <w:lang w:val="en-GB"/>
        </w:rPr>
      </w:pPr>
      <w:r>
        <w:rPr>
          <w:rFonts w:cs="Times New Roman"/>
          <w:b/>
          <w:szCs w:val="26"/>
          <w:lang w:val="en-GB"/>
        </w:rPr>
        <w:br/>
      </w:r>
      <w:r w:rsidR="0023704B" w:rsidRPr="0023704B">
        <w:rPr>
          <w:rFonts w:cs="Times New Roman"/>
          <w:b/>
          <w:szCs w:val="26"/>
          <w:lang w:val="en-GB"/>
        </w:rPr>
        <w:t>Opinion DACB: fully compliant</w:t>
      </w:r>
    </w:p>
    <w:p w:rsidR="009737AE" w:rsidRDefault="00C43F50" w:rsidP="00C43F50">
      <w:pPr>
        <w:rPr>
          <w:rFonts w:cs="Times New Roman"/>
          <w:szCs w:val="26"/>
          <w:lang w:val="en-GB"/>
        </w:rPr>
      </w:pPr>
      <w:r>
        <w:rPr>
          <w:rFonts w:cs="Times New Roman"/>
          <w:szCs w:val="26"/>
          <w:lang w:val="en-GB"/>
        </w:rPr>
        <w:t xml:space="preserve">The CBC to which the assets are transferred is established as a bankruptcy remote entity. The issuing bank is not allowed to hold any shares </w:t>
      </w:r>
      <w:r w:rsidR="00F57F89">
        <w:rPr>
          <w:rFonts w:cs="Times New Roman"/>
          <w:szCs w:val="26"/>
          <w:lang w:val="en-GB"/>
        </w:rPr>
        <w:t xml:space="preserve">or ownership rights </w:t>
      </w:r>
      <w:r>
        <w:rPr>
          <w:rFonts w:cs="Times New Roman"/>
          <w:szCs w:val="26"/>
          <w:lang w:val="en-GB"/>
        </w:rPr>
        <w:t>in the CBC nor is it allowed to exercise a form of policy-setting control</w:t>
      </w:r>
      <w:r w:rsidR="0023704B">
        <w:rPr>
          <w:rFonts w:cs="Times New Roman"/>
          <w:szCs w:val="26"/>
          <w:lang w:val="en-GB"/>
        </w:rPr>
        <w:t>, in this way independent management form the issuer’s insolvency estate is guaranteed.</w:t>
      </w:r>
      <w:r w:rsidR="009737AE">
        <w:rPr>
          <w:rFonts w:cs="Times New Roman"/>
          <w:szCs w:val="26"/>
          <w:lang w:val="en-GB"/>
        </w:rPr>
        <w:t xml:space="preserve"> </w:t>
      </w:r>
    </w:p>
    <w:p w:rsidR="009737AE" w:rsidRDefault="009737AE" w:rsidP="00C43F50">
      <w:pPr>
        <w:rPr>
          <w:rFonts w:cs="Times New Roman"/>
          <w:szCs w:val="26"/>
          <w:lang w:val="en-GB"/>
        </w:rPr>
      </w:pPr>
      <w:r>
        <w:rPr>
          <w:rFonts w:cs="Times New Roman"/>
          <w:szCs w:val="26"/>
          <w:lang w:val="en-GB"/>
        </w:rPr>
        <w:t>In the Dutch covered bond structure there are typi</w:t>
      </w:r>
      <w:r w:rsidR="005411F8">
        <w:rPr>
          <w:rFonts w:cs="Times New Roman"/>
          <w:szCs w:val="26"/>
          <w:lang w:val="en-GB"/>
        </w:rPr>
        <w:t xml:space="preserve">cally two trust companies  involved: 1.) a trust company as director </w:t>
      </w:r>
      <w:r>
        <w:rPr>
          <w:rFonts w:cs="Times New Roman"/>
          <w:szCs w:val="26"/>
          <w:lang w:val="en-GB"/>
        </w:rPr>
        <w:t>responsible for the managem</w:t>
      </w:r>
      <w:r w:rsidR="005411F8">
        <w:rPr>
          <w:rFonts w:cs="Times New Roman"/>
          <w:szCs w:val="26"/>
          <w:lang w:val="en-GB"/>
        </w:rPr>
        <w:t>ent of the CBC and 2.) a trust company as director of the (security) trustee</w:t>
      </w:r>
      <w:r>
        <w:rPr>
          <w:rFonts w:cs="Times New Roman"/>
          <w:szCs w:val="26"/>
          <w:lang w:val="en-GB"/>
        </w:rPr>
        <w:t xml:space="preserve"> that represents the interests of the covered bond investors.</w:t>
      </w:r>
    </w:p>
    <w:p w:rsidR="00C43F50" w:rsidRDefault="00C43F50" w:rsidP="00C43F50">
      <w:pPr>
        <w:rPr>
          <w:rFonts w:cs="Times New Roman"/>
          <w:szCs w:val="26"/>
          <w:lang w:val="en-GB"/>
        </w:rPr>
      </w:pPr>
      <w:r w:rsidRPr="002301F7">
        <w:rPr>
          <w:rFonts w:cs="Times New Roman"/>
          <w:szCs w:val="26"/>
          <w:lang w:val="en-GB"/>
        </w:rPr>
        <w:t>W</w:t>
      </w:r>
      <w:r>
        <w:rPr>
          <w:rFonts w:cs="Times New Roman"/>
          <w:szCs w:val="26"/>
          <w:lang w:val="en-GB"/>
        </w:rPr>
        <w:t xml:space="preserve">e refer to Article 40d(2b) of the </w:t>
      </w:r>
      <w:proofErr w:type="spellStart"/>
      <w:r>
        <w:rPr>
          <w:rFonts w:cs="Times New Roman"/>
          <w:szCs w:val="26"/>
          <w:lang w:val="en-GB"/>
        </w:rPr>
        <w:t>Bpr</w:t>
      </w:r>
      <w:proofErr w:type="spellEnd"/>
      <w:r w:rsidR="007D4EF1">
        <w:rPr>
          <w:rFonts w:cs="Times New Roman"/>
          <w:szCs w:val="26"/>
          <w:lang w:val="en-GB"/>
        </w:rPr>
        <w:t xml:space="preserve"> and </w:t>
      </w:r>
      <w:r>
        <w:rPr>
          <w:rFonts w:cs="Times New Roman"/>
          <w:szCs w:val="26"/>
          <w:lang w:val="en-GB"/>
        </w:rPr>
        <w:t>Article</w:t>
      </w:r>
      <w:r w:rsidR="007D4EF1">
        <w:rPr>
          <w:rFonts w:cs="Times New Roman"/>
          <w:szCs w:val="26"/>
          <w:lang w:val="en-GB"/>
        </w:rPr>
        <w:t>s</w:t>
      </w:r>
      <w:r>
        <w:rPr>
          <w:rFonts w:cs="Times New Roman"/>
          <w:szCs w:val="26"/>
          <w:lang w:val="en-GB"/>
        </w:rPr>
        <w:t xml:space="preserve"> 20a</w:t>
      </w:r>
      <w:r w:rsidR="00FE40C6">
        <w:rPr>
          <w:rFonts w:cs="Times New Roman"/>
          <w:szCs w:val="26"/>
          <w:lang w:val="en-GB"/>
        </w:rPr>
        <w:t>(</w:t>
      </w:r>
      <w:r>
        <w:rPr>
          <w:rFonts w:cs="Times New Roman"/>
          <w:szCs w:val="26"/>
          <w:lang w:val="en-GB"/>
        </w:rPr>
        <w:t xml:space="preserve">d) </w:t>
      </w:r>
      <w:r w:rsidR="007D4EF1">
        <w:rPr>
          <w:rFonts w:cs="Times New Roman"/>
          <w:szCs w:val="26"/>
          <w:lang w:val="en-GB"/>
        </w:rPr>
        <w:t xml:space="preserve">and 20b(1) </w:t>
      </w:r>
      <w:r>
        <w:rPr>
          <w:rFonts w:cs="Times New Roman"/>
          <w:szCs w:val="26"/>
          <w:lang w:val="en-GB"/>
        </w:rPr>
        <w:t>of the Ur.</w:t>
      </w:r>
    </w:p>
    <w:p w:rsidR="00EC06CD" w:rsidRDefault="00EC06CD" w:rsidP="00C43F50">
      <w:pPr>
        <w:rPr>
          <w:rFonts w:cs="Times New Roman"/>
          <w:szCs w:val="26"/>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D83B4E" w:rsidRPr="000B7EAE" w:rsidTr="001846DA">
        <w:trPr>
          <w:trHeight w:val="110"/>
        </w:trPr>
        <w:tc>
          <w:tcPr>
            <w:tcW w:w="9037" w:type="dxa"/>
          </w:tcPr>
          <w:p w:rsidR="00D83B4E" w:rsidRPr="001846DA" w:rsidRDefault="00C678BB" w:rsidP="00D83B4E">
            <w:pPr>
              <w:autoSpaceDE w:val="0"/>
              <w:autoSpaceDN w:val="0"/>
              <w:adjustRightInd w:val="0"/>
              <w:spacing w:after="0" w:line="240" w:lineRule="auto"/>
              <w:rPr>
                <w:rFonts w:ascii="Calibri" w:hAnsi="Calibri" w:cs="Calibri"/>
                <w:b/>
                <w:bCs/>
                <w:i/>
                <w:color w:val="0070C0"/>
                <w:sz w:val="28"/>
                <w:lang w:val="en-GB"/>
              </w:rPr>
            </w:pPr>
            <w:r w:rsidRPr="001846DA">
              <w:rPr>
                <w:b/>
                <w:bCs/>
                <w:i/>
                <w:color w:val="0070C0"/>
                <w:sz w:val="28"/>
                <w:szCs w:val="23"/>
                <w:lang w:val="en-GB"/>
              </w:rPr>
              <w:t>Characteristics of the cover pool</w:t>
            </w:r>
          </w:p>
          <w:p w:rsidR="00C678BB" w:rsidRPr="001846DA" w:rsidRDefault="00C678BB" w:rsidP="00D83B4E">
            <w:pPr>
              <w:autoSpaceDE w:val="0"/>
              <w:autoSpaceDN w:val="0"/>
              <w:adjustRightInd w:val="0"/>
              <w:spacing w:after="0" w:line="240" w:lineRule="auto"/>
              <w:rPr>
                <w:rFonts w:ascii="Calibri" w:hAnsi="Calibri" w:cs="Calibri"/>
                <w:b/>
                <w:bCs/>
                <w:i/>
                <w:color w:val="0070C0"/>
                <w:sz w:val="24"/>
                <w:lang w:val="en-GB"/>
              </w:rPr>
            </w:pPr>
          </w:p>
          <w:p w:rsidR="00D83B4E" w:rsidRPr="001846DA" w:rsidRDefault="00D83B4E" w:rsidP="00D83B4E">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3 - A: Composition of the cover pools </w:t>
            </w:r>
          </w:p>
        </w:tc>
      </w:tr>
      <w:tr w:rsidR="00D83B4E" w:rsidRPr="000B7EAE" w:rsidTr="001846DA">
        <w:trPr>
          <w:trHeight w:val="1190"/>
        </w:trPr>
        <w:tc>
          <w:tcPr>
            <w:tcW w:w="9037" w:type="dxa"/>
          </w:tcPr>
          <w:p w:rsidR="00D83B4E" w:rsidRPr="001846DA" w:rsidRDefault="00D83B4E" w:rsidP="00D83B4E">
            <w:pPr>
              <w:autoSpaceDE w:val="0"/>
              <w:autoSpaceDN w:val="0"/>
              <w:adjustRightInd w:val="0"/>
              <w:spacing w:after="0" w:line="240" w:lineRule="auto"/>
              <w:rPr>
                <w:rFonts w:ascii="Calibri" w:hAnsi="Calibri" w:cs="Calibri"/>
                <w:i/>
                <w:color w:val="000000"/>
                <w:sz w:val="16"/>
                <w:szCs w:val="16"/>
                <w:lang w:val="en-GB"/>
              </w:rPr>
            </w:pPr>
          </w:p>
          <w:p w:rsidR="00D83B4E" w:rsidRPr="001846DA" w:rsidRDefault="00D83B4E" w:rsidP="00D83B4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Cover pools comprising both residential mortgage (or guaranteed) loans and commercial mortgage loans should be structured and managed so as to ensure that the composition by mortgage type (residential vs. commercial) which characterises the pool at issuance does not materially change throughout the life of the covered bond, for reasons other than the amortisation profile of the cover assets. </w:t>
            </w:r>
          </w:p>
          <w:p w:rsidR="00D83B4E" w:rsidRPr="001846DA" w:rsidRDefault="00D83B4E" w:rsidP="00D83B4E">
            <w:pPr>
              <w:autoSpaceDE w:val="0"/>
              <w:autoSpaceDN w:val="0"/>
              <w:adjustRightInd w:val="0"/>
              <w:spacing w:after="0" w:line="240" w:lineRule="auto"/>
              <w:rPr>
                <w:rFonts w:ascii="Calibri" w:hAnsi="Calibri" w:cs="Calibri"/>
                <w:i/>
                <w:color w:val="002060"/>
                <w:sz w:val="16"/>
                <w:szCs w:val="16"/>
                <w:lang w:val="en-GB"/>
              </w:rPr>
            </w:pPr>
          </w:p>
          <w:p w:rsidR="00D83B4E" w:rsidRPr="001846DA" w:rsidRDefault="00D83B4E" w:rsidP="00D83B4E">
            <w:pPr>
              <w:autoSpaceDE w:val="0"/>
              <w:autoSpaceDN w:val="0"/>
              <w:adjustRightInd w:val="0"/>
              <w:spacing w:after="0" w:line="240" w:lineRule="auto"/>
              <w:rPr>
                <w:i/>
                <w:color w:val="002060"/>
                <w:lang w:val="en-GB"/>
              </w:rPr>
            </w:pPr>
            <w:r w:rsidRPr="001846DA">
              <w:rPr>
                <w:rFonts w:ascii="Calibri" w:hAnsi="Calibri" w:cs="Calibri"/>
                <w:i/>
                <w:color w:val="002060"/>
                <w:lang w:val="en-GB"/>
              </w:rPr>
              <w:lastRenderedPageBreak/>
              <w:t xml:space="preserve">The EBA considers that regulatory limits on the composition of these mortgage pools could represent a best practice to ensure that a certain degree of consistency is maintained in the risk profile of the cover pool throughout the life of the covered bond. The EBA also acknowledges that other tools may equally ensure consistency and stability in the composition of mixed cover pools, including contractual arrangements on the composition of the mixed cover pools and the </w:t>
            </w:r>
            <w:r w:rsidRPr="001846DA">
              <w:rPr>
                <w:i/>
                <w:color w:val="002060"/>
                <w:lang w:val="en-GB"/>
              </w:rPr>
              <w:t xml:space="preserve">supervision on the composition of mixed pools based on supervisory guidelines. </w:t>
            </w:r>
          </w:p>
          <w:p w:rsidR="00D83B4E" w:rsidRPr="001846DA" w:rsidRDefault="00D83B4E" w:rsidP="00D83B4E">
            <w:pPr>
              <w:autoSpaceDE w:val="0"/>
              <w:autoSpaceDN w:val="0"/>
              <w:adjustRightInd w:val="0"/>
              <w:spacing w:after="0" w:line="240" w:lineRule="auto"/>
              <w:rPr>
                <w:i/>
                <w:color w:val="002060"/>
                <w:sz w:val="16"/>
                <w:szCs w:val="16"/>
                <w:lang w:val="en-GB"/>
              </w:rPr>
            </w:pPr>
          </w:p>
          <w:p w:rsidR="00D83B4E" w:rsidRPr="001846DA" w:rsidRDefault="00D83B4E" w:rsidP="00D83B4E">
            <w:pPr>
              <w:autoSpaceDE w:val="0"/>
              <w:autoSpaceDN w:val="0"/>
              <w:adjustRightInd w:val="0"/>
              <w:spacing w:after="0" w:line="240" w:lineRule="auto"/>
              <w:rPr>
                <w:i/>
                <w:lang w:val="en-GB"/>
              </w:rPr>
            </w:pPr>
            <w:r w:rsidRPr="001846DA">
              <w:rPr>
                <w:i/>
                <w:color w:val="002060"/>
                <w:lang w:val="en-GB"/>
              </w:rPr>
              <w:t xml:space="preserve">Cover pools which comprise primary asset classes other than residential or commercial mortgages (not taking into account asset classes included in the pool as substitution assets), should consist exclusively of one primary asset class. </w:t>
            </w:r>
          </w:p>
        </w:tc>
      </w:tr>
    </w:tbl>
    <w:p w:rsidR="00D83B4E" w:rsidRPr="0023704B" w:rsidRDefault="00CE59ED" w:rsidP="00D83B4E">
      <w:pPr>
        <w:rPr>
          <w:rFonts w:cs="Times New Roman"/>
          <w:b/>
          <w:szCs w:val="26"/>
          <w:lang w:val="en-GB"/>
        </w:rPr>
      </w:pPr>
      <w:r>
        <w:rPr>
          <w:rFonts w:cs="Times New Roman"/>
          <w:b/>
          <w:szCs w:val="26"/>
          <w:lang w:val="en-GB"/>
        </w:rPr>
        <w:lastRenderedPageBreak/>
        <w:br/>
      </w:r>
      <w:r w:rsidR="00D83B4E" w:rsidRPr="0023704B">
        <w:rPr>
          <w:rFonts w:cs="Times New Roman"/>
          <w:b/>
          <w:szCs w:val="26"/>
          <w:lang w:val="en-GB"/>
        </w:rPr>
        <w:t>Opinion DACB: fully compliant</w:t>
      </w:r>
    </w:p>
    <w:p w:rsidR="00120E82" w:rsidRDefault="00120E82" w:rsidP="006723DE">
      <w:pPr>
        <w:rPr>
          <w:rFonts w:cs="Times New Roman"/>
          <w:szCs w:val="26"/>
          <w:lang w:val="en-GB"/>
        </w:rPr>
      </w:pPr>
      <w:r>
        <w:rPr>
          <w:rFonts w:cs="Times New Roman"/>
          <w:szCs w:val="26"/>
          <w:lang w:val="en-GB"/>
        </w:rPr>
        <w:t xml:space="preserve">Dutch issuers are not allowed to </w:t>
      </w:r>
      <w:r w:rsidR="000E6683">
        <w:rPr>
          <w:rFonts w:cs="Times New Roman"/>
          <w:szCs w:val="26"/>
          <w:lang w:val="en-GB"/>
        </w:rPr>
        <w:t xml:space="preserve">establish </w:t>
      </w:r>
      <w:r>
        <w:rPr>
          <w:rFonts w:cs="Times New Roman"/>
          <w:szCs w:val="26"/>
          <w:lang w:val="en-GB"/>
        </w:rPr>
        <w:t>categories (programs) of covered bonds were the primary cover assets consist of more than one a</w:t>
      </w:r>
      <w:r w:rsidR="002D055B">
        <w:rPr>
          <w:rFonts w:cs="Times New Roman"/>
          <w:szCs w:val="26"/>
          <w:lang w:val="en-GB"/>
        </w:rPr>
        <w:t>sset class, expect for mortgage loans</w:t>
      </w:r>
      <w:r>
        <w:rPr>
          <w:rFonts w:cs="Times New Roman"/>
          <w:szCs w:val="26"/>
          <w:lang w:val="en-GB"/>
        </w:rPr>
        <w:t>. A combination of resi</w:t>
      </w:r>
      <w:r w:rsidR="002D055B">
        <w:rPr>
          <w:rFonts w:cs="Times New Roman"/>
          <w:szCs w:val="26"/>
          <w:lang w:val="en-GB"/>
        </w:rPr>
        <w:t>dential and commercial mortgage loans</w:t>
      </w:r>
      <w:r>
        <w:rPr>
          <w:rFonts w:cs="Times New Roman"/>
          <w:szCs w:val="26"/>
          <w:lang w:val="en-GB"/>
        </w:rPr>
        <w:t xml:space="preserve"> is allowed under the same category of covered bonds provided that the allocation between the two asset classes is f</w:t>
      </w:r>
      <w:r w:rsidR="004F1D46">
        <w:rPr>
          <w:rFonts w:cs="Times New Roman"/>
          <w:szCs w:val="26"/>
          <w:lang w:val="en-GB"/>
        </w:rPr>
        <w:t>ixed within certain boundaries (</w:t>
      </w:r>
      <w:r>
        <w:rPr>
          <w:rFonts w:cs="Times New Roman"/>
          <w:szCs w:val="26"/>
          <w:lang w:val="en-GB"/>
        </w:rPr>
        <w:t xml:space="preserve">as </w:t>
      </w:r>
      <w:r w:rsidR="000E6683">
        <w:rPr>
          <w:rFonts w:cs="Times New Roman"/>
          <w:szCs w:val="26"/>
          <w:lang w:val="en-GB"/>
        </w:rPr>
        <w:t xml:space="preserve">approved by the Dutch Central Bank at </w:t>
      </w:r>
      <w:r>
        <w:rPr>
          <w:rFonts w:cs="Times New Roman"/>
          <w:szCs w:val="26"/>
          <w:lang w:val="en-GB"/>
        </w:rPr>
        <w:t xml:space="preserve">inception of the category). </w:t>
      </w:r>
    </w:p>
    <w:p w:rsidR="00026985" w:rsidRDefault="00120E82" w:rsidP="00026985">
      <w:pPr>
        <w:rPr>
          <w:rFonts w:cs="Times New Roman"/>
          <w:szCs w:val="26"/>
          <w:lang w:val="en-GB"/>
        </w:rPr>
      </w:pPr>
      <w:r>
        <w:rPr>
          <w:rFonts w:cs="Times New Roman"/>
          <w:szCs w:val="26"/>
          <w:lang w:val="en-GB"/>
        </w:rPr>
        <w:t xml:space="preserve">We refer to </w:t>
      </w:r>
      <w:r w:rsidR="000E6683">
        <w:rPr>
          <w:rFonts w:cs="Times New Roman"/>
          <w:szCs w:val="26"/>
          <w:lang w:val="en-GB"/>
        </w:rPr>
        <w:t xml:space="preserve">Article 40e(1b), (2), (3) and (4) of the </w:t>
      </w:r>
      <w:proofErr w:type="spellStart"/>
      <w:r w:rsidR="000E6683">
        <w:rPr>
          <w:rFonts w:cs="Times New Roman"/>
          <w:szCs w:val="26"/>
          <w:lang w:val="en-GB"/>
        </w:rPr>
        <w:t>Bpr</w:t>
      </w:r>
      <w:proofErr w:type="spellEnd"/>
      <w:r w:rsidR="000E6683">
        <w:rPr>
          <w:rFonts w:cs="Times New Roman"/>
          <w:szCs w:val="26"/>
          <w:lang w:val="en-GB"/>
        </w:rPr>
        <w:t>.</w:t>
      </w:r>
      <w:r w:rsidR="00026985">
        <w:rPr>
          <w:rFonts w:cs="Times New Roman"/>
          <w:szCs w:val="26"/>
          <w:lang w:val="en-GB"/>
        </w:rPr>
        <w:br/>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9"/>
      </w:tblGrid>
      <w:tr w:rsidR="00026985" w:rsidRPr="000B7EAE" w:rsidTr="006C285D">
        <w:trPr>
          <w:trHeight w:val="110"/>
        </w:trPr>
        <w:tc>
          <w:tcPr>
            <w:tcW w:w="9039" w:type="dxa"/>
          </w:tcPr>
          <w:p w:rsidR="00026985" w:rsidRPr="001846DA" w:rsidRDefault="00026985" w:rsidP="007A3A8E">
            <w:pPr>
              <w:autoSpaceDE w:val="0"/>
              <w:autoSpaceDN w:val="0"/>
              <w:adjustRightInd w:val="0"/>
              <w:spacing w:after="0" w:line="240" w:lineRule="auto"/>
              <w:rPr>
                <w:rFonts w:ascii="Calibri" w:hAnsi="Calibri" w:cs="Calibri"/>
                <w:b/>
                <w:bCs/>
                <w:i/>
                <w:color w:val="0070C0"/>
                <w:sz w:val="24"/>
                <w:lang w:val="en-GB"/>
              </w:rPr>
            </w:pPr>
            <w:r w:rsidRPr="001846DA">
              <w:rPr>
                <w:rFonts w:ascii="Calibri" w:hAnsi="Calibri" w:cs="Calibri"/>
                <w:b/>
                <w:bCs/>
                <w:i/>
                <w:color w:val="0070C0"/>
                <w:sz w:val="24"/>
                <w:lang w:val="en-GB"/>
              </w:rPr>
              <w:t>Best practice 3 - B: Cover pools with underlying assets located in different jurisdictions</w:t>
            </w:r>
          </w:p>
        </w:tc>
      </w:tr>
      <w:tr w:rsidR="00026985" w:rsidRPr="000B7EAE" w:rsidTr="006C285D">
        <w:trPr>
          <w:trHeight w:val="3979"/>
        </w:trPr>
        <w:tc>
          <w:tcPr>
            <w:tcW w:w="9039" w:type="dxa"/>
          </w:tcPr>
          <w:p w:rsidR="00026985" w:rsidRPr="001846DA" w:rsidRDefault="00026985" w:rsidP="007A3A8E">
            <w:pPr>
              <w:autoSpaceDE w:val="0"/>
              <w:autoSpaceDN w:val="0"/>
              <w:adjustRightInd w:val="0"/>
              <w:spacing w:after="0" w:line="240" w:lineRule="auto"/>
              <w:rPr>
                <w:rFonts w:ascii="Calibri" w:hAnsi="Calibri" w:cs="Calibri"/>
                <w:i/>
                <w:color w:val="000000"/>
                <w:sz w:val="16"/>
                <w:szCs w:val="16"/>
                <w:lang w:val="en-GB"/>
              </w:rPr>
            </w:pPr>
          </w:p>
          <w:p w:rsidR="00026985" w:rsidRPr="001846DA" w:rsidRDefault="00026985" w:rsidP="007A3A8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provide that cover pools are generally limited to comprise of assets located in the EEA, as this ensures that liquidation of collateral in the case of issuer default is legally enforceable. </w:t>
            </w:r>
          </w:p>
          <w:p w:rsidR="00026985" w:rsidRPr="001846DA" w:rsidRDefault="00026985" w:rsidP="007A3A8E">
            <w:pPr>
              <w:autoSpaceDE w:val="0"/>
              <w:autoSpaceDN w:val="0"/>
              <w:adjustRightInd w:val="0"/>
              <w:spacing w:after="0" w:line="240" w:lineRule="auto"/>
              <w:rPr>
                <w:rFonts w:ascii="Calibri" w:hAnsi="Calibri" w:cs="Calibri"/>
                <w:i/>
                <w:color w:val="002060"/>
                <w:sz w:val="16"/>
                <w:szCs w:val="16"/>
                <w:lang w:val="en-GB"/>
              </w:rPr>
            </w:pPr>
          </w:p>
          <w:p w:rsidR="00026985" w:rsidRPr="001846DA" w:rsidRDefault="00026985" w:rsidP="007A3A8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In the case of cover assets that are loans secured by mortgages on residential or commercial property located in a non-EEA jurisdiction, it should be assessed that the requirements provided for in Article 208(2) of the CRR are met and that the priority claim of the covered bond investor is legally enforceable in an issuer’s insolvency scenario in the jurisdiction under consideration. For cover assets other than mortgages, it should similarly be ensured that access to the cover assets is legally enforceable. Underwriting standards should be similar to the ones applied on comparable loans granted in EEA jurisdictions and the loans should have similar risk characteristics. </w:t>
            </w:r>
          </w:p>
          <w:p w:rsidR="00026985" w:rsidRPr="001846DA" w:rsidRDefault="00026985" w:rsidP="007A3A8E">
            <w:pPr>
              <w:autoSpaceDE w:val="0"/>
              <w:autoSpaceDN w:val="0"/>
              <w:adjustRightInd w:val="0"/>
              <w:spacing w:after="0" w:line="240" w:lineRule="auto"/>
              <w:rPr>
                <w:rFonts w:ascii="Calibri" w:hAnsi="Calibri" w:cs="Calibri"/>
                <w:i/>
                <w:color w:val="002060"/>
                <w:sz w:val="16"/>
                <w:szCs w:val="16"/>
                <w:lang w:val="en-GB"/>
              </w:rPr>
            </w:pPr>
          </w:p>
          <w:p w:rsidR="006C285D" w:rsidRPr="006C285D" w:rsidRDefault="00026985" w:rsidP="007A3A8E">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In addition non-EEA jurisdictions should apply prudential supervisory and regulatory requirements at least equivalent to those applied in the Union, as per Article 107(4) of the CRR.</w:t>
            </w:r>
          </w:p>
        </w:tc>
      </w:tr>
      <w:tr w:rsidR="00CE59ED" w:rsidRPr="000B7EAE" w:rsidTr="006C285D">
        <w:tblPrEx>
          <w:tblBorders>
            <w:top w:val="nil"/>
            <w:left w:val="nil"/>
            <w:bottom w:val="nil"/>
            <w:right w:val="nil"/>
          </w:tblBorders>
        </w:tblPrEx>
        <w:trPr>
          <w:trHeight w:val="1862"/>
        </w:trPr>
        <w:tc>
          <w:tcPr>
            <w:tcW w:w="9039" w:type="dxa"/>
          </w:tcPr>
          <w:p w:rsidR="00AD57D2" w:rsidRDefault="00AD57D2" w:rsidP="00026985">
            <w:pPr>
              <w:autoSpaceDE w:val="0"/>
              <w:autoSpaceDN w:val="0"/>
              <w:adjustRightInd w:val="0"/>
              <w:spacing w:after="0" w:line="240" w:lineRule="auto"/>
              <w:rPr>
                <w:rFonts w:cs="Times New Roman"/>
                <w:b/>
                <w:szCs w:val="26"/>
                <w:lang w:val="en-GB"/>
              </w:rPr>
            </w:pPr>
          </w:p>
          <w:p w:rsidR="00AD57D2" w:rsidRDefault="00AD57D2" w:rsidP="00026985">
            <w:pPr>
              <w:autoSpaceDE w:val="0"/>
              <w:autoSpaceDN w:val="0"/>
              <w:adjustRightInd w:val="0"/>
              <w:spacing w:after="0" w:line="240" w:lineRule="auto"/>
              <w:rPr>
                <w:rFonts w:cs="Times New Roman"/>
                <w:b/>
                <w:szCs w:val="26"/>
                <w:lang w:val="en-GB"/>
              </w:rPr>
            </w:pPr>
          </w:p>
          <w:p w:rsidR="00CE59ED" w:rsidRPr="00026985" w:rsidRDefault="00CE59ED" w:rsidP="00026985">
            <w:pPr>
              <w:autoSpaceDE w:val="0"/>
              <w:autoSpaceDN w:val="0"/>
              <w:adjustRightInd w:val="0"/>
              <w:spacing w:after="0" w:line="240" w:lineRule="auto"/>
              <w:rPr>
                <w:rFonts w:ascii="Calibri" w:hAnsi="Calibri" w:cs="Calibri"/>
                <w:color w:val="002060"/>
                <w:lang w:val="en-GB"/>
              </w:rPr>
            </w:pPr>
            <w:r w:rsidRPr="0023704B">
              <w:rPr>
                <w:rFonts w:cs="Times New Roman"/>
                <w:b/>
                <w:szCs w:val="26"/>
                <w:lang w:val="en-GB"/>
              </w:rPr>
              <w:t>Opinion DACB: fully compliant</w:t>
            </w:r>
          </w:p>
          <w:p w:rsidR="00026985" w:rsidRDefault="00026985" w:rsidP="00CE59ED">
            <w:pPr>
              <w:autoSpaceDE w:val="0"/>
              <w:autoSpaceDN w:val="0"/>
              <w:adjustRightInd w:val="0"/>
              <w:spacing w:after="0" w:line="240" w:lineRule="auto"/>
              <w:rPr>
                <w:rFonts w:ascii="Calibri" w:hAnsi="Calibri" w:cs="Calibri"/>
                <w:color w:val="000000"/>
                <w:lang w:val="en-GB"/>
              </w:rPr>
            </w:pPr>
          </w:p>
          <w:p w:rsidR="00026985" w:rsidRDefault="004F1D46" w:rsidP="00CE59ED">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To date (January 1, 2015) Dutch issuers have only issued covered bonds with Dutch and/or German (o</w:t>
            </w:r>
            <w:r w:rsidR="002D055B">
              <w:rPr>
                <w:rFonts w:ascii="Calibri" w:hAnsi="Calibri" w:cs="Calibri"/>
                <w:color w:val="000000"/>
                <w:lang w:val="en-GB"/>
              </w:rPr>
              <w:t xml:space="preserve">nly NIBC) residential mortgage loans </w:t>
            </w:r>
            <w:r>
              <w:rPr>
                <w:rFonts w:ascii="Calibri" w:hAnsi="Calibri" w:cs="Calibri"/>
                <w:color w:val="000000"/>
                <w:lang w:val="en-GB"/>
              </w:rPr>
              <w:t>as cover assets.</w:t>
            </w:r>
            <w:r w:rsidR="00026985">
              <w:rPr>
                <w:rFonts w:ascii="Calibri" w:hAnsi="Calibri" w:cs="Calibri"/>
                <w:color w:val="000000"/>
                <w:lang w:val="en-GB"/>
              </w:rPr>
              <w:t xml:space="preserve"> </w:t>
            </w:r>
            <w:r w:rsidR="007D35AA">
              <w:rPr>
                <w:rFonts w:ascii="Calibri" w:hAnsi="Calibri" w:cs="Calibri"/>
                <w:color w:val="000000"/>
                <w:lang w:val="en-GB"/>
              </w:rPr>
              <w:t xml:space="preserve">In addition the Dutch legislation is fully compliant with CRR. </w:t>
            </w:r>
          </w:p>
          <w:p w:rsidR="00026985" w:rsidRDefault="00026985" w:rsidP="00CE59ED">
            <w:pPr>
              <w:autoSpaceDE w:val="0"/>
              <w:autoSpaceDN w:val="0"/>
              <w:adjustRightInd w:val="0"/>
              <w:spacing w:after="0" w:line="240" w:lineRule="auto"/>
              <w:rPr>
                <w:rFonts w:ascii="Calibri" w:hAnsi="Calibri" w:cs="Calibri"/>
                <w:color w:val="000000"/>
                <w:lang w:val="en-GB"/>
              </w:rPr>
            </w:pPr>
          </w:p>
          <w:p w:rsidR="001F0C5E" w:rsidRDefault="00C678BB" w:rsidP="00CE59ED">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 xml:space="preserve">We refer to Article 40e(1c), (2) of the </w:t>
            </w:r>
            <w:proofErr w:type="spellStart"/>
            <w:r>
              <w:rPr>
                <w:rFonts w:ascii="Calibri" w:hAnsi="Calibri" w:cs="Calibri"/>
                <w:color w:val="000000"/>
                <w:lang w:val="en-GB"/>
              </w:rPr>
              <w:t>Bpr</w:t>
            </w:r>
            <w:proofErr w:type="spellEnd"/>
            <w:r>
              <w:rPr>
                <w:rFonts w:ascii="Calibri" w:hAnsi="Calibri" w:cs="Calibri"/>
                <w:color w:val="000000"/>
                <w:lang w:val="en-GB"/>
              </w:rPr>
              <w:t xml:space="preserve"> and Article 20c of the Ur. </w:t>
            </w:r>
          </w:p>
          <w:p w:rsidR="005C4088" w:rsidRDefault="005C4088" w:rsidP="001F0C5E">
            <w:pPr>
              <w:autoSpaceDE w:val="0"/>
              <w:autoSpaceDN w:val="0"/>
              <w:adjustRightInd w:val="0"/>
              <w:spacing w:after="0" w:line="240" w:lineRule="auto"/>
              <w:rPr>
                <w:rFonts w:ascii="Calibri" w:hAnsi="Calibri" w:cs="Calibri"/>
                <w:color w:val="000000"/>
                <w:lang w:val="en-GB"/>
              </w:rPr>
            </w:pPr>
          </w:p>
          <w:p w:rsidR="005F3F4F" w:rsidRPr="00CE59ED" w:rsidRDefault="005F3F4F" w:rsidP="001F0C5E">
            <w:pPr>
              <w:autoSpaceDE w:val="0"/>
              <w:autoSpaceDN w:val="0"/>
              <w:adjustRightInd w:val="0"/>
              <w:spacing w:after="0" w:line="240" w:lineRule="auto"/>
              <w:rPr>
                <w:rFonts w:ascii="Calibri" w:hAnsi="Calibri" w:cs="Calibri"/>
                <w:color w:val="000000"/>
                <w:lang w:val="en-GB"/>
              </w:rPr>
            </w:pPr>
          </w:p>
        </w:tc>
      </w:tr>
    </w:tbl>
    <w:p w:rsidR="00395878" w:rsidRDefault="00395878" w:rsidP="00395878">
      <w:pPr>
        <w:spacing w:after="0" w:line="240" w:lineRule="auto"/>
        <w:rPr>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06"/>
      </w:tblGrid>
      <w:tr w:rsidR="00395878" w:rsidRPr="000B7EAE" w:rsidTr="00395878">
        <w:trPr>
          <w:trHeight w:val="60"/>
        </w:trPr>
        <w:tc>
          <w:tcPr>
            <w:tcW w:w="9006" w:type="dxa"/>
          </w:tcPr>
          <w:tbl>
            <w:tblPr>
              <w:tblW w:w="9454" w:type="dxa"/>
              <w:tblInd w:w="5" w:type="dxa"/>
              <w:tblBorders>
                <w:top w:val="nil"/>
                <w:left w:val="nil"/>
                <w:bottom w:val="nil"/>
                <w:right w:val="nil"/>
              </w:tblBorders>
              <w:tblLayout w:type="fixed"/>
              <w:tblLook w:val="0000" w:firstRow="0" w:lastRow="0" w:firstColumn="0" w:lastColumn="0" w:noHBand="0" w:noVBand="0"/>
            </w:tblPr>
            <w:tblGrid>
              <w:gridCol w:w="9454"/>
            </w:tblGrid>
            <w:tr w:rsidR="00395878" w:rsidRPr="00733586" w:rsidTr="00395878">
              <w:trPr>
                <w:trHeight w:val="61"/>
              </w:trPr>
              <w:tc>
                <w:tcPr>
                  <w:tcW w:w="9454" w:type="dxa"/>
                </w:tcPr>
                <w:p w:rsidR="00395878" w:rsidRPr="00733586" w:rsidRDefault="00395878" w:rsidP="007A3A8E">
                  <w:pPr>
                    <w:autoSpaceDE w:val="0"/>
                    <w:autoSpaceDN w:val="0"/>
                    <w:adjustRightInd w:val="0"/>
                    <w:spacing w:after="0" w:line="240" w:lineRule="auto"/>
                    <w:rPr>
                      <w:rFonts w:ascii="Calibri" w:eastAsiaTheme="minorHAnsi" w:hAnsi="Calibri" w:cs="Calibri"/>
                      <w:b/>
                      <w:bCs/>
                      <w:i/>
                      <w:color w:val="4F81BD" w:themeColor="accent1"/>
                      <w:sz w:val="24"/>
                      <w:lang w:val="en-GB"/>
                    </w:rPr>
                  </w:pPr>
                  <w:r w:rsidRPr="00733586">
                    <w:rPr>
                      <w:rFonts w:ascii="Calibri" w:eastAsiaTheme="minorHAnsi" w:hAnsi="Calibri" w:cs="Calibri"/>
                      <w:b/>
                      <w:bCs/>
                      <w:i/>
                      <w:color w:val="4F81BD" w:themeColor="accent1"/>
                      <w:sz w:val="24"/>
                      <w:lang w:val="en-GB"/>
                    </w:rPr>
                    <w:lastRenderedPageBreak/>
                    <w:t xml:space="preserve">Best practice 4 - A: LTV limits </w:t>
                  </w:r>
                </w:p>
                <w:p w:rsidR="00395878" w:rsidRPr="00733586" w:rsidRDefault="00395878" w:rsidP="007A3A8E">
                  <w:pPr>
                    <w:autoSpaceDE w:val="0"/>
                    <w:autoSpaceDN w:val="0"/>
                    <w:adjustRightInd w:val="0"/>
                    <w:spacing w:after="0" w:line="240" w:lineRule="auto"/>
                    <w:rPr>
                      <w:rFonts w:ascii="Calibri" w:eastAsiaTheme="minorHAnsi" w:hAnsi="Calibri" w:cs="Calibri"/>
                      <w:i/>
                      <w:color w:val="000000"/>
                      <w:lang w:val="en-GB"/>
                    </w:rPr>
                  </w:pPr>
                </w:p>
              </w:tc>
            </w:tr>
            <w:tr w:rsidR="00395878" w:rsidRPr="000B7EAE" w:rsidTr="00395878">
              <w:trPr>
                <w:trHeight w:val="739"/>
              </w:trPr>
              <w:tc>
                <w:tcPr>
                  <w:tcW w:w="9454" w:type="dxa"/>
                </w:tcPr>
                <w:p w:rsidR="00395878"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 xml:space="preserve">The legal/regulatory covered bond framework should establish maximum LTV parameters to </w:t>
                  </w:r>
                </w:p>
                <w:p w:rsidR="00395878"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 xml:space="preserve">determine the percentage portion of the loan that contributes to the requirement of coverage of </w:t>
                  </w:r>
                </w:p>
                <w:p w:rsidR="00395878" w:rsidRPr="00733586"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 xml:space="preserve">the liabilities of the covered bond programme (so-called ‘soft LTV limits’). </w:t>
                  </w:r>
                </w:p>
                <w:p w:rsidR="00395878"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While the EBA sees merits in the LTV limits being not only coverage limits (soft LTV limits) but also eligibility limits (i.e. limits whose breach determines the full non-eligibility of the loan for inclusion</w:t>
                  </w:r>
                </w:p>
                <w:p w:rsidR="00395878"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 xml:space="preserve"> in the cover pool; also referred to as ‘hard LTV limits’) when a given loan is included in the cover </w:t>
                  </w:r>
                </w:p>
                <w:p w:rsidR="00395878"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 xml:space="preserve">pool for the first time, the EBA is concerned about the ongoing application of eligibility LTV limits </w:t>
                  </w:r>
                </w:p>
                <w:p w:rsidR="00395878" w:rsidRDefault="00395878" w:rsidP="007A3A8E">
                  <w:pPr>
                    <w:autoSpaceDE w:val="0"/>
                    <w:autoSpaceDN w:val="0"/>
                    <w:adjustRightInd w:val="0"/>
                    <w:spacing w:after="0" w:line="240" w:lineRule="auto"/>
                    <w:rPr>
                      <w:rFonts w:ascii="Calibri" w:eastAsiaTheme="minorHAnsi" w:hAnsi="Calibri" w:cs="Calibri"/>
                      <w:i/>
                      <w:color w:val="1F497D" w:themeColor="text2"/>
                      <w:lang w:val="en-GB"/>
                    </w:rPr>
                  </w:pPr>
                  <w:r w:rsidRPr="00733586">
                    <w:rPr>
                      <w:rFonts w:ascii="Calibri" w:eastAsiaTheme="minorHAnsi" w:hAnsi="Calibri" w:cs="Calibri"/>
                      <w:i/>
                      <w:color w:val="1F497D" w:themeColor="text2"/>
                      <w:lang w:val="en-GB"/>
                    </w:rPr>
                    <w:t xml:space="preserve">to loans already included in the cover pool. A severe downturn of real-estate prices, in the </w:t>
                  </w:r>
                </w:p>
                <w:p w:rsidR="00395878" w:rsidRPr="00733586" w:rsidRDefault="00395878" w:rsidP="00395878">
                  <w:pPr>
                    <w:autoSpaceDE w:val="0"/>
                    <w:autoSpaceDN w:val="0"/>
                    <w:adjustRightInd w:val="0"/>
                    <w:spacing w:after="0" w:line="240" w:lineRule="auto"/>
                    <w:rPr>
                      <w:rFonts w:ascii="Calibri" w:eastAsiaTheme="minorHAnsi" w:hAnsi="Calibri" w:cs="Calibri"/>
                      <w:color w:val="000000"/>
                      <w:lang w:val="en-GB"/>
                    </w:rPr>
                  </w:pPr>
                  <w:r w:rsidRPr="00733586">
                    <w:rPr>
                      <w:rFonts w:ascii="Calibri" w:eastAsiaTheme="minorHAnsi" w:hAnsi="Calibri" w:cs="Calibri"/>
                      <w:i/>
                      <w:color w:val="1F497D" w:themeColor="text2"/>
                      <w:lang w:val="en-GB"/>
                    </w:rPr>
                    <w:t>presence of ‘hard LTV limits’, may determine coverage disruptions in covered bond programmes.</w:t>
                  </w:r>
                  <w:r w:rsidRPr="00733586">
                    <w:rPr>
                      <w:rFonts w:ascii="Calibri" w:eastAsiaTheme="minorHAnsi" w:hAnsi="Calibri" w:cs="Calibri"/>
                      <w:color w:val="1F497D" w:themeColor="text2"/>
                      <w:lang w:val="en-GB"/>
                    </w:rPr>
                    <w:t xml:space="preserve"> </w:t>
                  </w:r>
                </w:p>
              </w:tc>
            </w:tr>
          </w:tbl>
          <w:p w:rsidR="00395878" w:rsidRPr="001846DA" w:rsidRDefault="00395878" w:rsidP="007A3A8E">
            <w:pPr>
              <w:autoSpaceDE w:val="0"/>
              <w:autoSpaceDN w:val="0"/>
              <w:adjustRightInd w:val="0"/>
              <w:spacing w:after="0" w:line="240" w:lineRule="auto"/>
              <w:rPr>
                <w:rFonts w:ascii="Calibri" w:hAnsi="Calibri" w:cs="Calibri"/>
                <w:i/>
                <w:color w:val="000000"/>
                <w:lang w:val="en-GB"/>
              </w:rPr>
            </w:pPr>
          </w:p>
        </w:tc>
      </w:tr>
    </w:tbl>
    <w:p w:rsidR="00C63020" w:rsidRDefault="00C63020" w:rsidP="005C4088">
      <w:pPr>
        <w:rPr>
          <w:rFonts w:cs="Times New Roman"/>
          <w:b/>
          <w:szCs w:val="26"/>
          <w:lang w:val="en-GB"/>
        </w:rPr>
      </w:pPr>
    </w:p>
    <w:p w:rsidR="005C4088" w:rsidRPr="0023704B" w:rsidRDefault="005C4088" w:rsidP="005C4088">
      <w:pPr>
        <w:rPr>
          <w:rFonts w:cs="Times New Roman"/>
          <w:b/>
          <w:szCs w:val="26"/>
          <w:lang w:val="en-GB"/>
        </w:rPr>
      </w:pPr>
      <w:r w:rsidRPr="0023704B">
        <w:rPr>
          <w:rFonts w:cs="Times New Roman"/>
          <w:b/>
          <w:szCs w:val="26"/>
          <w:lang w:val="en-GB"/>
        </w:rPr>
        <w:t>Opinion DACB: fully compliant</w:t>
      </w:r>
    </w:p>
    <w:p w:rsidR="000561ED" w:rsidRDefault="000561ED" w:rsidP="001F0C5E">
      <w:pPr>
        <w:spacing w:after="0" w:line="240" w:lineRule="auto"/>
        <w:rPr>
          <w:lang w:val="en-GB"/>
        </w:rPr>
      </w:pPr>
      <w:r>
        <w:rPr>
          <w:lang w:val="en-GB"/>
        </w:rPr>
        <w:t>The Dutch legislative environment forces issuers to fully comply with Article 129 of CRR</w:t>
      </w:r>
      <w:r w:rsidR="004F1D46">
        <w:rPr>
          <w:lang w:val="en-GB"/>
        </w:rPr>
        <w:t xml:space="preserve"> ( a precondition for registration with the Dutch Central Bank)</w:t>
      </w:r>
      <w:r>
        <w:rPr>
          <w:lang w:val="en-GB"/>
        </w:rPr>
        <w:t>. This automatically means that</w:t>
      </w:r>
      <w:r w:rsidR="00C355EE">
        <w:rPr>
          <w:lang w:val="en-GB"/>
        </w:rPr>
        <w:t xml:space="preserve"> </w:t>
      </w:r>
      <w:r w:rsidR="00C355EE" w:rsidRPr="005C4088">
        <w:rPr>
          <w:rFonts w:ascii="Calibri" w:hAnsi="Calibri" w:cs="Calibri"/>
          <w:color w:val="000000"/>
          <w:lang w:val="en-GB"/>
        </w:rPr>
        <w:t xml:space="preserve">the percentage portion of the loan that contributes to the requirement of coverage of the liabilities </w:t>
      </w:r>
      <w:r w:rsidR="00C355EE">
        <w:rPr>
          <w:rFonts w:ascii="Calibri" w:hAnsi="Calibri" w:cs="Calibri"/>
          <w:color w:val="000000"/>
          <w:lang w:val="en-GB"/>
        </w:rPr>
        <w:t>meets the maximum LTV parameters of Article 129 of CRR</w:t>
      </w:r>
      <w:r w:rsidR="00D90F01">
        <w:rPr>
          <w:rFonts w:ascii="Calibri" w:hAnsi="Calibri" w:cs="Calibri"/>
          <w:color w:val="000000"/>
          <w:lang w:val="en-GB"/>
        </w:rPr>
        <w:t>, i.e. 80% LTV cut off for residential mortgages and 60% for commercial real estate</w:t>
      </w:r>
      <w:r w:rsidR="00C355EE">
        <w:rPr>
          <w:rFonts w:ascii="Calibri" w:hAnsi="Calibri" w:cs="Calibri"/>
          <w:color w:val="000000"/>
          <w:lang w:val="en-GB"/>
        </w:rPr>
        <w:t>.</w:t>
      </w:r>
      <w:r w:rsidR="009862B9">
        <w:rPr>
          <w:rFonts w:ascii="Calibri" w:hAnsi="Calibri" w:cs="Calibri"/>
          <w:color w:val="000000"/>
          <w:lang w:val="en-GB"/>
        </w:rPr>
        <w:t xml:space="preserve"> </w:t>
      </w:r>
      <w:r w:rsidR="004F1D46">
        <w:rPr>
          <w:rFonts w:ascii="Calibri" w:hAnsi="Calibri" w:cs="Calibri"/>
          <w:color w:val="000000"/>
          <w:lang w:val="en-GB"/>
        </w:rPr>
        <w:br/>
      </w:r>
      <w:r w:rsidR="009862B9">
        <w:rPr>
          <w:rFonts w:ascii="Calibri" w:hAnsi="Calibri" w:cs="Calibri"/>
          <w:color w:val="000000"/>
          <w:lang w:val="en-GB"/>
        </w:rPr>
        <w:br/>
      </w:r>
      <w:r w:rsidR="00C355EE">
        <w:rPr>
          <w:lang w:val="en-GB"/>
        </w:rPr>
        <w:t>We refer to Article 40e(3b) and (3c) and Article 40f(2)</w:t>
      </w:r>
      <w:r>
        <w:rPr>
          <w:lang w:val="en-GB"/>
        </w:rPr>
        <w:t xml:space="preserve">of the </w:t>
      </w:r>
      <w:proofErr w:type="spellStart"/>
      <w:r>
        <w:rPr>
          <w:lang w:val="en-GB"/>
        </w:rPr>
        <w:t>Bpr</w:t>
      </w:r>
      <w:proofErr w:type="spellEnd"/>
      <w:r>
        <w:rPr>
          <w:lang w:val="en-GB"/>
        </w:rPr>
        <w:t xml:space="preserve">. </w:t>
      </w:r>
    </w:p>
    <w:p w:rsidR="00E75E6E" w:rsidRDefault="00E75E6E" w:rsidP="001F0C5E">
      <w:pPr>
        <w:spacing w:after="0" w:line="240" w:lineRule="auto"/>
        <w:rPr>
          <w:lang w:val="en-GB"/>
        </w:rPr>
      </w:pPr>
    </w:p>
    <w:p w:rsidR="00391EF6" w:rsidRDefault="00391EF6" w:rsidP="001F0C5E">
      <w:pPr>
        <w:spacing w:after="0" w:line="240" w:lineRule="auto"/>
        <w:rPr>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81"/>
      </w:tblGrid>
      <w:tr w:rsidR="009862B9" w:rsidRPr="000B7EAE" w:rsidTr="001846DA">
        <w:trPr>
          <w:trHeight w:val="110"/>
        </w:trPr>
        <w:tc>
          <w:tcPr>
            <w:tcW w:w="9081" w:type="dxa"/>
          </w:tcPr>
          <w:p w:rsidR="009862B9" w:rsidRPr="001846DA" w:rsidRDefault="009862B9" w:rsidP="009862B9">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4 - B: LTV measurement and frequency of re-valuation </w:t>
            </w:r>
          </w:p>
        </w:tc>
      </w:tr>
      <w:tr w:rsidR="009862B9" w:rsidRPr="000B7EAE" w:rsidTr="001846DA">
        <w:trPr>
          <w:trHeight w:val="1323"/>
        </w:trPr>
        <w:tc>
          <w:tcPr>
            <w:tcW w:w="9081" w:type="dxa"/>
          </w:tcPr>
          <w:p w:rsidR="009862B9" w:rsidRPr="001846DA" w:rsidRDefault="009862B9" w:rsidP="009862B9">
            <w:pPr>
              <w:autoSpaceDE w:val="0"/>
              <w:autoSpaceDN w:val="0"/>
              <w:adjustRightInd w:val="0"/>
              <w:spacing w:after="0" w:line="240" w:lineRule="auto"/>
              <w:rPr>
                <w:rFonts w:ascii="Calibri" w:hAnsi="Calibri" w:cs="Calibri"/>
                <w:i/>
                <w:color w:val="000000"/>
                <w:sz w:val="16"/>
                <w:szCs w:val="16"/>
                <w:lang w:val="en-GB"/>
              </w:rPr>
            </w:pPr>
          </w:p>
          <w:p w:rsidR="009862B9" w:rsidRPr="001846DA" w:rsidRDefault="009862B9" w:rsidP="009862B9">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establish that the value of the property securing a particular loan, and the corresponding regulatory LTV limit determining the contribution of that loan to the coverage requirement, be monitored and updated (e.g. at least via an indexation or other statistical method) at least on a yearly basis for both residential and commercial properties, and more frequently where either the management of the covered bond programme or the cover pool monitor or the competent authority deem appropriate. </w:t>
            </w:r>
          </w:p>
          <w:p w:rsidR="009862B9" w:rsidRPr="001846DA" w:rsidRDefault="009862B9" w:rsidP="009862B9">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 xml:space="preserve">The framework should specify that the re-valuation of the properties securing the loans should be based on transparent valuation rules and be carried out by an agent who is independent from the credit granting process. As a minimum the valuation process should be compatible with the conditions laid down in the first and second subparagraph of Article 229(1) of the CRR. </w:t>
            </w:r>
          </w:p>
        </w:tc>
      </w:tr>
    </w:tbl>
    <w:p w:rsidR="00EF737F" w:rsidRPr="009862B9" w:rsidRDefault="00EF737F" w:rsidP="001F0C5E">
      <w:pPr>
        <w:spacing w:after="0" w:line="240" w:lineRule="auto"/>
        <w:rPr>
          <w:sz w:val="16"/>
          <w:szCs w:val="16"/>
          <w:lang w:val="en-GB"/>
        </w:rPr>
      </w:pPr>
    </w:p>
    <w:p w:rsidR="00EC06CD" w:rsidRDefault="00EC06CD" w:rsidP="00AC39BD">
      <w:pPr>
        <w:rPr>
          <w:rFonts w:cs="Times New Roman"/>
          <w:b/>
          <w:szCs w:val="26"/>
          <w:lang w:val="en-GB"/>
        </w:rPr>
      </w:pPr>
    </w:p>
    <w:p w:rsidR="00AC39BD" w:rsidRPr="0023704B" w:rsidRDefault="00AC39BD" w:rsidP="00AC39BD">
      <w:pPr>
        <w:rPr>
          <w:rFonts w:cs="Times New Roman"/>
          <w:b/>
          <w:szCs w:val="26"/>
          <w:lang w:val="en-GB"/>
        </w:rPr>
      </w:pPr>
      <w:r w:rsidRPr="0023704B">
        <w:rPr>
          <w:rFonts w:cs="Times New Roman"/>
          <w:b/>
          <w:szCs w:val="26"/>
          <w:lang w:val="en-GB"/>
        </w:rPr>
        <w:t>Opinion DACB: fully compliant</w:t>
      </w:r>
    </w:p>
    <w:p w:rsidR="00370CA8" w:rsidRDefault="009862B9" w:rsidP="009862B9">
      <w:pPr>
        <w:spacing w:after="0" w:line="240" w:lineRule="auto"/>
        <w:rPr>
          <w:lang w:val="en-GB"/>
        </w:rPr>
      </w:pPr>
      <w:r>
        <w:rPr>
          <w:lang w:val="en-GB"/>
        </w:rPr>
        <w:t xml:space="preserve">With respect to the ongoing compliance with the LTV parameters </w:t>
      </w:r>
      <w:r w:rsidR="007D0633">
        <w:rPr>
          <w:lang w:val="en-GB"/>
        </w:rPr>
        <w:t xml:space="preserve">of CRR 129 </w:t>
      </w:r>
      <w:r>
        <w:rPr>
          <w:lang w:val="en-GB"/>
        </w:rPr>
        <w:t xml:space="preserve">(EBA mentions a possible breach resulting from a downturn in real estate prices), we refer to Article 20d(4) and (5) of the Ur. </w:t>
      </w:r>
      <w:r>
        <w:rPr>
          <w:lang w:val="en-GB"/>
        </w:rPr>
        <w:br/>
        <w:t>Besides the fact that A</w:t>
      </w:r>
      <w:r w:rsidR="007D0633">
        <w:rPr>
          <w:lang w:val="en-GB"/>
        </w:rPr>
        <w:t>rticle</w:t>
      </w:r>
      <w:r>
        <w:rPr>
          <w:lang w:val="en-GB"/>
        </w:rPr>
        <w:t xml:space="preserve"> 20d(4) of the Ur explicitly </w:t>
      </w:r>
      <w:r w:rsidR="004F1D46">
        <w:rPr>
          <w:lang w:val="en-GB"/>
        </w:rPr>
        <w:t xml:space="preserve">refers </w:t>
      </w:r>
      <w:r>
        <w:rPr>
          <w:lang w:val="en-GB"/>
        </w:rPr>
        <w:t>to Article 129(3) of the CRR</w:t>
      </w:r>
      <w:r>
        <w:rPr>
          <w:rStyle w:val="Voetnootmarkering"/>
          <w:lang w:val="en-GB"/>
        </w:rPr>
        <w:footnoteReference w:id="2"/>
      </w:r>
      <w:r>
        <w:rPr>
          <w:lang w:val="en-GB"/>
        </w:rPr>
        <w:t xml:space="preserve">, Article 20d(5) </w:t>
      </w:r>
      <w:r w:rsidR="004F1D46">
        <w:rPr>
          <w:lang w:val="en-GB"/>
        </w:rPr>
        <w:t xml:space="preserve">requires </w:t>
      </w:r>
      <w:r>
        <w:rPr>
          <w:lang w:val="en-GB"/>
        </w:rPr>
        <w:t xml:space="preserve">Dutch issuers to revalue their real estate cover pool assets at least annually when calculating the minimum required </w:t>
      </w:r>
      <w:r w:rsidR="007D0633">
        <w:rPr>
          <w:lang w:val="en-GB"/>
        </w:rPr>
        <w:t>over</w:t>
      </w:r>
      <w:r w:rsidR="00E75E6E">
        <w:rPr>
          <w:lang w:val="en-GB"/>
        </w:rPr>
        <w:t>-</w:t>
      </w:r>
      <w:r w:rsidR="007D0633">
        <w:rPr>
          <w:lang w:val="en-GB"/>
        </w:rPr>
        <w:t>collateralisation ratio</w:t>
      </w:r>
      <w:r>
        <w:rPr>
          <w:lang w:val="en-GB"/>
        </w:rPr>
        <w:t xml:space="preserve"> </w:t>
      </w:r>
      <w:r w:rsidR="007D0633">
        <w:rPr>
          <w:lang w:val="en-GB"/>
        </w:rPr>
        <w:t>as described in Article 40f</w:t>
      </w:r>
      <w:r>
        <w:rPr>
          <w:lang w:val="en-GB"/>
        </w:rPr>
        <w:t xml:space="preserve">(2) of the </w:t>
      </w:r>
      <w:proofErr w:type="spellStart"/>
      <w:r>
        <w:rPr>
          <w:lang w:val="en-GB"/>
        </w:rPr>
        <w:t>Bpr</w:t>
      </w:r>
      <w:proofErr w:type="spellEnd"/>
      <w:r>
        <w:rPr>
          <w:lang w:val="en-GB"/>
        </w:rPr>
        <w:t>.</w:t>
      </w:r>
    </w:p>
    <w:p w:rsidR="00AC39BD" w:rsidRDefault="00AC39BD" w:rsidP="001F0C5E">
      <w:pPr>
        <w:spacing w:after="0" w:line="240" w:lineRule="auto"/>
        <w:rPr>
          <w:lang w:val="en-GB"/>
        </w:rPr>
      </w:pPr>
    </w:p>
    <w:p w:rsidR="00E75E6E" w:rsidRDefault="00E75E6E" w:rsidP="001F0C5E">
      <w:pPr>
        <w:spacing w:after="0" w:line="240" w:lineRule="auto"/>
        <w:rPr>
          <w:b/>
          <w:bCs/>
          <w:color w:val="0070C0"/>
          <w:sz w:val="28"/>
          <w:szCs w:val="23"/>
          <w:lang w:val="en-GB"/>
        </w:rPr>
      </w:pPr>
    </w:p>
    <w:p w:rsidR="00AC39BD" w:rsidRDefault="00AC39BD" w:rsidP="001F0C5E">
      <w:pPr>
        <w:spacing w:after="0" w:line="240" w:lineRule="auto"/>
        <w:rPr>
          <w:b/>
          <w:bCs/>
          <w:color w:val="0070C0"/>
          <w:sz w:val="28"/>
          <w:szCs w:val="23"/>
          <w:lang w:val="en-GB"/>
        </w:rPr>
      </w:pPr>
      <w:r w:rsidRPr="00336E1C">
        <w:rPr>
          <w:b/>
          <w:bCs/>
          <w:color w:val="0070C0"/>
          <w:sz w:val="28"/>
          <w:szCs w:val="23"/>
          <w:lang w:val="en-GB"/>
        </w:rPr>
        <w:lastRenderedPageBreak/>
        <w:t>Coverage principle and over-collateralisation</w:t>
      </w:r>
    </w:p>
    <w:p w:rsidR="00A87C00" w:rsidRPr="00336E1C" w:rsidRDefault="00A87C00" w:rsidP="001F0C5E">
      <w:pPr>
        <w:spacing w:after="0" w:line="240" w:lineRule="auto"/>
        <w:rPr>
          <w:b/>
          <w:bCs/>
          <w:color w:val="0070C0"/>
          <w:sz w:val="28"/>
          <w:szCs w:val="23"/>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81"/>
      </w:tblGrid>
      <w:tr w:rsidR="00A87C00" w:rsidRPr="000B7EAE" w:rsidTr="000E3980">
        <w:trPr>
          <w:trHeight w:val="110"/>
        </w:trPr>
        <w:tc>
          <w:tcPr>
            <w:tcW w:w="9081" w:type="dxa"/>
          </w:tcPr>
          <w:p w:rsidR="00A87C00" w:rsidRPr="001846DA" w:rsidRDefault="00A87C00" w:rsidP="00A87C00">
            <w:pPr>
              <w:autoSpaceDE w:val="0"/>
              <w:autoSpaceDN w:val="0"/>
              <w:adjustRightInd w:val="0"/>
              <w:spacing w:after="0" w:line="240" w:lineRule="auto"/>
              <w:rPr>
                <w:rFonts w:ascii="Calibri" w:hAnsi="Calibri" w:cs="Calibri"/>
                <w:i/>
                <w:color w:val="0070C0"/>
                <w:sz w:val="24"/>
                <w:lang w:val="en-GB"/>
              </w:rPr>
            </w:pPr>
            <w:r w:rsidRPr="001846DA">
              <w:rPr>
                <w:rFonts w:ascii="Calibri" w:hAnsi="Calibri" w:cs="Calibri"/>
                <w:b/>
                <w:bCs/>
                <w:i/>
                <w:color w:val="0070C0"/>
                <w:sz w:val="24"/>
                <w:lang w:val="en-GB"/>
              </w:rPr>
              <w:t xml:space="preserve">Best practice 5: Coverage principles and legal/regulatory over-collateralisation </w:t>
            </w:r>
          </w:p>
          <w:p w:rsidR="00A87C00" w:rsidRPr="001846DA" w:rsidRDefault="00A87C00" w:rsidP="00A87C00">
            <w:pPr>
              <w:autoSpaceDE w:val="0"/>
              <w:autoSpaceDN w:val="0"/>
              <w:adjustRightInd w:val="0"/>
              <w:spacing w:after="0" w:line="240" w:lineRule="auto"/>
              <w:rPr>
                <w:rFonts w:ascii="Calibri" w:hAnsi="Calibri" w:cs="Calibri"/>
                <w:i/>
                <w:color w:val="000000"/>
                <w:sz w:val="16"/>
                <w:szCs w:val="16"/>
                <w:lang w:val="en-GB"/>
              </w:rPr>
            </w:pPr>
          </w:p>
          <w:p w:rsidR="00A87C00" w:rsidRPr="001846DA" w:rsidRDefault="00A87C00" w:rsidP="00E75E6E">
            <w:pPr>
              <w:autoSpaceDE w:val="0"/>
              <w:autoSpaceDN w:val="0"/>
              <w:adjustRightInd w:val="0"/>
              <w:spacing w:after="0" w:line="240" w:lineRule="auto"/>
              <w:rPr>
                <w:rFonts w:ascii="Calibri" w:hAnsi="Calibri" w:cs="Calibri"/>
                <w:i/>
                <w:color w:val="002060"/>
                <w:sz w:val="16"/>
                <w:szCs w:val="16"/>
                <w:lang w:val="en-GB"/>
              </w:rPr>
            </w:pPr>
            <w:r w:rsidRPr="001846DA">
              <w:rPr>
                <w:rFonts w:ascii="Calibri" w:hAnsi="Calibri" w:cs="Calibri"/>
                <w:i/>
                <w:color w:val="002060"/>
                <w:lang w:val="en-GB"/>
              </w:rPr>
              <w:t xml:space="preserve">The legal/regulatory covered bond framework should ensure that all the liabilities of the covered bond programme, including liabilities towards counterparties in derivative contracts and, as applicable, liabilities towards managers/administrators, servicers, trustees, cover pool monitors and similar entities involved in the process of the covered bond issuance, are covered by the cover assets. </w:t>
            </w:r>
          </w:p>
          <w:p w:rsidR="00A87C00" w:rsidRPr="000E3980" w:rsidRDefault="00A87C00" w:rsidP="000E3980">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The EBA considers that a legal/regulatory minimum over-collateralisation level constitutes a regulatory best practice. The recommendation of a quantitative legal/regulatory minimum over-collateralisation level would require further analysis as it depends on several factors including, but not limited to, the class of cover assets as well as, crucially, the chosen coverage principle among the several different coverage principles currently adopted across jurisdictions (nominal, net present value, prudent market value, net-present value under stress, etc.).</w:t>
            </w:r>
          </w:p>
        </w:tc>
      </w:tr>
    </w:tbl>
    <w:p w:rsidR="00AC39BD" w:rsidRDefault="00AC39BD" w:rsidP="00AC39BD">
      <w:pPr>
        <w:rPr>
          <w:rFonts w:cs="Times New Roman"/>
          <w:b/>
          <w:szCs w:val="26"/>
          <w:lang w:val="en-GB"/>
        </w:rPr>
      </w:pPr>
      <w:r>
        <w:rPr>
          <w:rFonts w:cs="Times New Roman"/>
          <w:b/>
          <w:szCs w:val="26"/>
          <w:lang w:val="en-GB"/>
        </w:rPr>
        <w:br/>
      </w:r>
      <w:r w:rsidRPr="0023704B">
        <w:rPr>
          <w:rFonts w:cs="Times New Roman"/>
          <w:b/>
          <w:szCs w:val="26"/>
          <w:lang w:val="en-GB"/>
        </w:rPr>
        <w:t>Opinion DACB: fully compliant</w:t>
      </w:r>
    </w:p>
    <w:p w:rsidR="00213038" w:rsidRDefault="00213038" w:rsidP="00AC39BD">
      <w:pPr>
        <w:rPr>
          <w:rFonts w:cs="Times New Roman"/>
          <w:szCs w:val="26"/>
          <w:lang w:val="en-GB"/>
        </w:rPr>
      </w:pPr>
      <w:r>
        <w:rPr>
          <w:rFonts w:cs="Times New Roman"/>
          <w:szCs w:val="26"/>
          <w:lang w:val="en-GB"/>
        </w:rPr>
        <w:t xml:space="preserve">For the Best Practice that all liabilities of a covered bond program should be covered by cover assets (first part of Best Practice 5) we refer to Article 40g(1c)and (3) of the </w:t>
      </w:r>
      <w:proofErr w:type="spellStart"/>
      <w:r>
        <w:rPr>
          <w:rFonts w:cs="Times New Roman"/>
          <w:szCs w:val="26"/>
          <w:lang w:val="en-GB"/>
        </w:rPr>
        <w:t>Bpr</w:t>
      </w:r>
      <w:proofErr w:type="spellEnd"/>
      <w:r>
        <w:rPr>
          <w:rFonts w:cs="Times New Roman"/>
          <w:szCs w:val="26"/>
          <w:lang w:val="en-GB"/>
        </w:rPr>
        <w:t xml:space="preserve"> and 20e(2) of the Ur. </w:t>
      </w:r>
      <w:r w:rsidR="00E75E6E">
        <w:rPr>
          <w:rFonts w:cs="Times New Roman"/>
          <w:szCs w:val="26"/>
          <w:lang w:val="en-GB"/>
        </w:rPr>
        <w:br/>
      </w:r>
      <w:r>
        <w:rPr>
          <w:rFonts w:cs="Times New Roman"/>
          <w:szCs w:val="26"/>
          <w:lang w:val="en-GB"/>
        </w:rPr>
        <w:t xml:space="preserve">The second part of this Best Practice refers to minimum over-collateralisation levels. Dutch issuers have to comply with two minimum over-collateralisation ratios, 105% (Article 40f(1) of the </w:t>
      </w:r>
      <w:proofErr w:type="spellStart"/>
      <w:r>
        <w:rPr>
          <w:rFonts w:cs="Times New Roman"/>
          <w:szCs w:val="26"/>
          <w:lang w:val="en-GB"/>
        </w:rPr>
        <w:t>Bpr</w:t>
      </w:r>
      <w:proofErr w:type="spellEnd"/>
      <w:r>
        <w:rPr>
          <w:rFonts w:cs="Times New Roman"/>
          <w:szCs w:val="26"/>
          <w:lang w:val="en-GB"/>
        </w:rPr>
        <w:t xml:space="preserve">) and 100% (Article 40f(2) of the </w:t>
      </w:r>
      <w:proofErr w:type="spellStart"/>
      <w:r>
        <w:rPr>
          <w:rFonts w:cs="Times New Roman"/>
          <w:szCs w:val="26"/>
          <w:lang w:val="en-GB"/>
        </w:rPr>
        <w:t>Bpr</w:t>
      </w:r>
      <w:proofErr w:type="spellEnd"/>
      <w:r>
        <w:rPr>
          <w:rFonts w:cs="Times New Roman"/>
          <w:szCs w:val="26"/>
          <w:lang w:val="en-GB"/>
        </w:rPr>
        <w:t xml:space="preserve">). The 100% ratio requires Dutch issuers to take the LTV parameters of Article 129 of the CRR into account when calculating the denominator. </w:t>
      </w:r>
    </w:p>
    <w:p w:rsidR="00213038" w:rsidRPr="00636950" w:rsidRDefault="00636950" w:rsidP="00AC39BD">
      <w:pPr>
        <w:rPr>
          <w:rFonts w:cs="Times New Roman"/>
          <w:color w:val="0070C0"/>
          <w:sz w:val="28"/>
          <w:szCs w:val="26"/>
          <w:lang w:val="en-GB"/>
        </w:rPr>
      </w:pPr>
      <w:r w:rsidRPr="00DC406D">
        <w:rPr>
          <w:b/>
          <w:bCs/>
          <w:color w:val="0070C0"/>
          <w:sz w:val="28"/>
          <w:szCs w:val="23"/>
          <w:lang w:val="en-GB"/>
        </w:rPr>
        <w:t>Assets and liabilities risks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636950" w:rsidRPr="000B7EAE" w:rsidTr="001846DA">
        <w:trPr>
          <w:trHeight w:val="110"/>
        </w:trPr>
        <w:tc>
          <w:tcPr>
            <w:tcW w:w="9037" w:type="dxa"/>
          </w:tcPr>
          <w:p w:rsidR="00636950" w:rsidRPr="001846DA" w:rsidRDefault="00636950" w:rsidP="00636950">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6 - A: Use of derivatives </w:t>
            </w:r>
          </w:p>
        </w:tc>
      </w:tr>
      <w:tr w:rsidR="00636950" w:rsidRPr="000B7EAE" w:rsidTr="001846DA">
        <w:trPr>
          <w:trHeight w:val="788"/>
        </w:trPr>
        <w:tc>
          <w:tcPr>
            <w:tcW w:w="9037" w:type="dxa"/>
          </w:tcPr>
          <w:p w:rsidR="00636950" w:rsidRPr="001846DA" w:rsidRDefault="00636950" w:rsidP="00636950">
            <w:pPr>
              <w:autoSpaceDE w:val="0"/>
              <w:autoSpaceDN w:val="0"/>
              <w:adjustRightInd w:val="0"/>
              <w:spacing w:after="0" w:line="240" w:lineRule="auto"/>
              <w:rPr>
                <w:rFonts w:ascii="Calibri" w:hAnsi="Calibri" w:cs="Calibri"/>
                <w:i/>
                <w:color w:val="002060"/>
                <w:sz w:val="16"/>
                <w:szCs w:val="16"/>
                <w:lang w:val="en-GB"/>
              </w:rPr>
            </w:pPr>
          </w:p>
          <w:p w:rsidR="00636950" w:rsidRPr="001846DA" w:rsidRDefault="00636950" w:rsidP="00636950">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specify that derivative instruments are allowed in covered bond programmes exclusively for risk hedging purposes. </w:t>
            </w:r>
          </w:p>
          <w:p w:rsidR="00636950" w:rsidRPr="001846DA" w:rsidRDefault="00636950" w:rsidP="00636950">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provide that derivative contracts entered into by the covered bond issuer with a derivative counterparty, and registered in the cover pool, cannot be terminated upon issuer insolvency. </w:t>
            </w:r>
          </w:p>
        </w:tc>
      </w:tr>
    </w:tbl>
    <w:p w:rsidR="00636950" w:rsidRDefault="00636950" w:rsidP="00AC39BD">
      <w:pPr>
        <w:spacing w:after="0" w:line="240" w:lineRule="auto"/>
        <w:rPr>
          <w:rFonts w:ascii="Calibri" w:hAnsi="Calibri" w:cs="Calibri"/>
          <w:color w:val="000000"/>
          <w:lang w:val="en-GB"/>
        </w:rPr>
      </w:pPr>
    </w:p>
    <w:p w:rsidR="00636950" w:rsidRPr="008D3890" w:rsidRDefault="00636950" w:rsidP="00636950">
      <w:pPr>
        <w:rPr>
          <w:rFonts w:cs="Times New Roman"/>
          <w:b/>
          <w:szCs w:val="26"/>
          <w:lang w:val="en-GB"/>
        </w:rPr>
      </w:pPr>
      <w:r w:rsidRPr="008D3890">
        <w:rPr>
          <w:rFonts w:cs="Times New Roman"/>
          <w:b/>
          <w:szCs w:val="26"/>
          <w:lang w:val="en-GB"/>
        </w:rPr>
        <w:t>Opinion DACB: fully compliant</w:t>
      </w:r>
    </w:p>
    <w:p w:rsidR="00636950" w:rsidRDefault="008D3890" w:rsidP="00636950">
      <w:pPr>
        <w:rPr>
          <w:rFonts w:cs="Times New Roman"/>
          <w:b/>
          <w:szCs w:val="26"/>
          <w:lang w:val="en-GB"/>
        </w:rPr>
      </w:pPr>
      <w:r>
        <w:rPr>
          <w:rFonts w:cs="Times New Roman"/>
          <w:szCs w:val="26"/>
          <w:lang w:val="en-GB"/>
        </w:rPr>
        <w:t>Article 20b(3) of the Ur</w:t>
      </w:r>
      <w:r w:rsidR="00A87C00">
        <w:rPr>
          <w:rFonts w:cs="Times New Roman"/>
          <w:szCs w:val="26"/>
          <w:lang w:val="en-GB"/>
        </w:rPr>
        <w:t xml:space="preserve"> covers that derivatives are only allowed for risk hedging purposes and the contracts </w:t>
      </w:r>
      <w:r w:rsidR="00DC406D">
        <w:rPr>
          <w:rFonts w:cs="Times New Roman"/>
          <w:szCs w:val="26"/>
          <w:lang w:val="en-GB"/>
        </w:rPr>
        <w:t>cannot</w:t>
      </w:r>
      <w:r w:rsidR="00A87C00">
        <w:rPr>
          <w:rFonts w:cs="Times New Roman"/>
          <w:szCs w:val="26"/>
          <w:lang w:val="en-GB"/>
        </w:rPr>
        <w:t xml:space="preserve"> be terminated after a default of the issuer</w:t>
      </w:r>
      <w:r>
        <w:rPr>
          <w:rFonts w:cs="Times New Roman"/>
          <w:szCs w:val="26"/>
          <w:lang w:val="en-GB"/>
        </w:rPr>
        <w:t>.</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636950" w:rsidRPr="000B7EAE" w:rsidTr="001846DA">
        <w:trPr>
          <w:trHeight w:val="110"/>
        </w:trPr>
        <w:tc>
          <w:tcPr>
            <w:tcW w:w="9037" w:type="dxa"/>
          </w:tcPr>
          <w:p w:rsidR="00636950" w:rsidRPr="001846DA" w:rsidRDefault="00636950" w:rsidP="00636950">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 xml:space="preserve">Best practice 6 - B: Liquidity buffer </w:t>
            </w:r>
          </w:p>
        </w:tc>
      </w:tr>
      <w:tr w:rsidR="00636950" w:rsidRPr="000B7EAE" w:rsidTr="001846DA">
        <w:trPr>
          <w:trHeight w:val="921"/>
        </w:trPr>
        <w:tc>
          <w:tcPr>
            <w:tcW w:w="9037" w:type="dxa"/>
          </w:tcPr>
          <w:p w:rsidR="00636950" w:rsidRPr="001846DA" w:rsidRDefault="00636950" w:rsidP="00636950">
            <w:pPr>
              <w:autoSpaceDE w:val="0"/>
              <w:autoSpaceDN w:val="0"/>
              <w:adjustRightInd w:val="0"/>
              <w:spacing w:after="0" w:line="240" w:lineRule="auto"/>
              <w:rPr>
                <w:rFonts w:ascii="Calibri" w:hAnsi="Calibri" w:cs="Calibri"/>
                <w:i/>
                <w:color w:val="000000"/>
                <w:sz w:val="16"/>
                <w:szCs w:val="16"/>
                <w:lang w:val="en-GB"/>
              </w:rPr>
            </w:pPr>
          </w:p>
          <w:p w:rsidR="00636950" w:rsidRPr="001846DA" w:rsidRDefault="00636950" w:rsidP="00636950">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The EBA considers that a requirement to mitigate liquidity risk in the covered bond programme, by means of liquid assets available at all times to cover the cumulative net out-flows of the covered bond programme over a certain time frame, constitutes a regulatory best practice. Determining the calibration and scope of a best practice requirement would require further analysis since, as the report acknowledges, different structures of the covered bond programme -</w:t>
            </w:r>
            <w:r w:rsidRPr="001846DA">
              <w:rPr>
                <w:rFonts w:ascii="Calibri" w:hAnsi="Calibri" w:cs="Calibri"/>
                <w:i/>
                <w:color w:val="000000"/>
                <w:lang w:val="en-GB"/>
              </w:rPr>
              <w:t xml:space="preserve"> </w:t>
            </w:r>
            <w:r w:rsidRPr="001846DA">
              <w:rPr>
                <w:rFonts w:ascii="Calibri" w:hAnsi="Calibri" w:cs="Calibri"/>
                <w:i/>
                <w:color w:val="002060"/>
                <w:lang w:val="en-GB"/>
              </w:rPr>
              <w:t xml:space="preserve">e.g. hard bullet, soft bullet and conditional pass-through structures - expose to different extents the covered bond programme to liquidity risk. </w:t>
            </w:r>
          </w:p>
        </w:tc>
      </w:tr>
    </w:tbl>
    <w:p w:rsidR="00EC06CD" w:rsidRDefault="00EC06CD" w:rsidP="00636950">
      <w:pPr>
        <w:rPr>
          <w:rFonts w:cs="Times New Roman"/>
          <w:b/>
          <w:szCs w:val="26"/>
          <w:lang w:val="en-GB"/>
        </w:rPr>
      </w:pPr>
    </w:p>
    <w:p w:rsidR="00636950" w:rsidRDefault="00636950" w:rsidP="00636950">
      <w:pPr>
        <w:rPr>
          <w:rFonts w:cs="Times New Roman"/>
          <w:b/>
          <w:szCs w:val="26"/>
          <w:lang w:val="en-GB"/>
        </w:rPr>
      </w:pPr>
      <w:r w:rsidRPr="0023704B">
        <w:rPr>
          <w:rFonts w:cs="Times New Roman"/>
          <w:b/>
          <w:szCs w:val="26"/>
          <w:lang w:val="en-GB"/>
        </w:rPr>
        <w:t>Opinion DACB: fully compliant</w:t>
      </w:r>
    </w:p>
    <w:p w:rsidR="00636950" w:rsidRDefault="008D3890" w:rsidP="00636950">
      <w:pPr>
        <w:rPr>
          <w:rFonts w:cs="Times New Roman"/>
          <w:szCs w:val="26"/>
          <w:lang w:val="en-GB"/>
        </w:rPr>
      </w:pPr>
      <w:r>
        <w:rPr>
          <w:rFonts w:cs="Times New Roman"/>
          <w:szCs w:val="26"/>
          <w:lang w:val="en-GB"/>
        </w:rPr>
        <w:t xml:space="preserve">The liquidity buffer requirement for Dutch issuers applies to redemptions </w:t>
      </w:r>
      <w:r w:rsidR="00631508">
        <w:rPr>
          <w:rFonts w:cs="Times New Roman"/>
          <w:szCs w:val="26"/>
          <w:lang w:val="en-GB"/>
        </w:rPr>
        <w:t xml:space="preserve">and </w:t>
      </w:r>
      <w:r>
        <w:rPr>
          <w:rFonts w:cs="Times New Roman"/>
          <w:szCs w:val="26"/>
          <w:lang w:val="en-GB"/>
        </w:rPr>
        <w:t>interest rate payments that are due within six months. However, if Dutch issuers have the possibility to postpone their</w:t>
      </w:r>
      <w:r w:rsidR="00193092">
        <w:rPr>
          <w:rFonts w:cs="Times New Roman"/>
          <w:szCs w:val="26"/>
          <w:lang w:val="en-GB"/>
        </w:rPr>
        <w:t xml:space="preserve"> redemption with at least six</w:t>
      </w:r>
      <w:r>
        <w:rPr>
          <w:rFonts w:cs="Times New Roman"/>
          <w:szCs w:val="26"/>
          <w:lang w:val="en-GB"/>
        </w:rPr>
        <w:t xml:space="preserve"> months, there is no liqu</w:t>
      </w:r>
      <w:r w:rsidR="00631508">
        <w:rPr>
          <w:rFonts w:cs="Times New Roman"/>
          <w:szCs w:val="26"/>
          <w:lang w:val="en-GB"/>
        </w:rPr>
        <w:t>i</w:t>
      </w:r>
      <w:r w:rsidR="00EC66BC">
        <w:rPr>
          <w:rFonts w:cs="Times New Roman"/>
          <w:szCs w:val="26"/>
          <w:lang w:val="en-GB"/>
        </w:rPr>
        <w:t>dity buffer requirement for the</w:t>
      </w:r>
      <w:r>
        <w:rPr>
          <w:rFonts w:cs="Times New Roman"/>
          <w:szCs w:val="26"/>
          <w:lang w:val="en-GB"/>
        </w:rPr>
        <w:t xml:space="preserve"> redemption amount. </w:t>
      </w:r>
    </w:p>
    <w:p w:rsidR="008D3890" w:rsidRDefault="008D3890" w:rsidP="00636950">
      <w:pPr>
        <w:rPr>
          <w:rFonts w:cs="Times New Roman"/>
          <w:szCs w:val="26"/>
          <w:lang w:val="en-GB"/>
        </w:rPr>
      </w:pPr>
      <w:r>
        <w:rPr>
          <w:rFonts w:cs="Times New Roman"/>
          <w:szCs w:val="26"/>
          <w:lang w:val="en-GB"/>
        </w:rPr>
        <w:t>We r</w:t>
      </w:r>
      <w:r w:rsidR="003A40A6">
        <w:rPr>
          <w:rFonts w:cs="Times New Roman"/>
          <w:szCs w:val="26"/>
          <w:lang w:val="en-GB"/>
        </w:rPr>
        <w:t xml:space="preserve">efer to Article 40g of the </w:t>
      </w:r>
      <w:proofErr w:type="spellStart"/>
      <w:r w:rsidR="003A40A6">
        <w:rPr>
          <w:rFonts w:cs="Times New Roman"/>
          <w:szCs w:val="26"/>
          <w:lang w:val="en-GB"/>
        </w:rPr>
        <w:t>Bpr</w:t>
      </w:r>
      <w:proofErr w:type="spellEnd"/>
      <w:r w:rsidR="003A40A6">
        <w:rPr>
          <w:rFonts w:cs="Times New Roman"/>
          <w:szCs w:val="26"/>
          <w:lang w:val="en-GB"/>
        </w:rPr>
        <w:t xml:space="preserve"> and 20e</w:t>
      </w:r>
      <w:r w:rsidR="00CE6113">
        <w:rPr>
          <w:rFonts w:cs="Times New Roman"/>
          <w:szCs w:val="26"/>
          <w:lang w:val="en-GB"/>
        </w:rPr>
        <w:t xml:space="preserve"> of the Ur. </w:t>
      </w:r>
      <w:r w:rsidR="007A31F6">
        <w:rPr>
          <w:rFonts w:cs="Times New Roman"/>
          <w:szCs w:val="26"/>
          <w:lang w:val="en-GB"/>
        </w:rPr>
        <w:br/>
      </w:r>
    </w:p>
    <w:tbl>
      <w:tblPr>
        <w:tblW w:w="0" w:type="auto"/>
        <w:tblBorders>
          <w:top w:val="nil"/>
          <w:left w:val="nil"/>
          <w:bottom w:val="nil"/>
          <w:right w:val="nil"/>
        </w:tblBorders>
        <w:tblLayout w:type="fixed"/>
        <w:tblLook w:val="0000" w:firstRow="0" w:lastRow="0" w:firstColumn="0" w:lastColumn="0" w:noHBand="0" w:noVBand="0"/>
      </w:tblPr>
      <w:tblGrid>
        <w:gridCol w:w="9037"/>
      </w:tblGrid>
      <w:tr w:rsidR="00BA1D57" w:rsidRPr="000B7EAE" w:rsidTr="001846DA">
        <w:trPr>
          <w:trHeight w:val="110"/>
        </w:trPr>
        <w:tc>
          <w:tcPr>
            <w:tcW w:w="9037" w:type="dxa"/>
            <w:tcBorders>
              <w:top w:val="single" w:sz="12" w:space="0" w:color="auto"/>
              <w:left w:val="single" w:sz="12" w:space="0" w:color="auto"/>
              <w:bottom w:val="nil"/>
              <w:right w:val="single" w:sz="12" w:space="0" w:color="auto"/>
            </w:tcBorders>
          </w:tcPr>
          <w:p w:rsidR="00BA1D57" w:rsidRPr="001846DA" w:rsidRDefault="00BA1D57" w:rsidP="000E3980">
            <w:pPr>
              <w:autoSpaceDE w:val="0"/>
              <w:autoSpaceDN w:val="0"/>
              <w:adjustRightInd w:val="0"/>
              <w:spacing w:after="0" w:line="240" w:lineRule="auto"/>
              <w:rPr>
                <w:rFonts w:ascii="Calibri" w:hAnsi="Calibri" w:cs="Calibri"/>
                <w:b/>
                <w:bCs/>
                <w:i/>
                <w:color w:val="0070C0"/>
                <w:sz w:val="24"/>
                <w:lang w:val="en-GB"/>
              </w:rPr>
            </w:pPr>
            <w:r w:rsidRPr="001846DA">
              <w:rPr>
                <w:rFonts w:ascii="Calibri" w:hAnsi="Calibri" w:cs="Calibri"/>
                <w:b/>
                <w:bCs/>
                <w:i/>
                <w:color w:val="0070C0"/>
                <w:sz w:val="24"/>
                <w:lang w:val="en-GB"/>
              </w:rPr>
              <w:t>Best practice 6 – C: Stress testing</w:t>
            </w:r>
          </w:p>
        </w:tc>
      </w:tr>
      <w:tr w:rsidR="00BA1D57" w:rsidRPr="000B7EAE" w:rsidTr="001846DA">
        <w:trPr>
          <w:trHeight w:val="110"/>
        </w:trPr>
        <w:tc>
          <w:tcPr>
            <w:tcW w:w="9037" w:type="dxa"/>
            <w:tcBorders>
              <w:top w:val="nil"/>
              <w:left w:val="single" w:sz="12" w:space="0" w:color="auto"/>
              <w:bottom w:val="single" w:sz="12" w:space="0" w:color="auto"/>
              <w:right w:val="single" w:sz="12" w:space="0" w:color="auto"/>
            </w:tcBorders>
          </w:tcPr>
          <w:p w:rsidR="00BA1D57" w:rsidRPr="001846DA" w:rsidRDefault="00BA1D57" w:rsidP="000E3980">
            <w:pPr>
              <w:autoSpaceDE w:val="0"/>
              <w:autoSpaceDN w:val="0"/>
              <w:adjustRightInd w:val="0"/>
              <w:spacing w:after="0" w:line="240" w:lineRule="auto"/>
              <w:rPr>
                <w:rFonts w:ascii="Calibri" w:hAnsi="Calibri" w:cs="Calibri"/>
                <w:b/>
                <w:bCs/>
                <w:i/>
                <w:color w:val="0070C0"/>
                <w:sz w:val="24"/>
                <w:lang w:val="en-GB"/>
              </w:rPr>
            </w:pPr>
          </w:p>
          <w:p w:rsidR="00BA1D57" w:rsidRPr="001846DA" w:rsidRDefault="00BA1D57" w:rsidP="00BA1D57">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require covered bonds issuers to carry out stress test exercises on the calculation of the coverage requirement taking into account, at least, the following factors: </w:t>
            </w:r>
          </w:p>
          <w:p w:rsidR="00BA1D57" w:rsidRPr="001846DA" w:rsidRDefault="00BA1D57" w:rsidP="00BA1D57">
            <w:pPr>
              <w:pStyle w:val="Lijstalinea"/>
              <w:numPr>
                <w:ilvl w:val="0"/>
                <w:numId w:val="11"/>
              </w:num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Shifts of relevant interest rate curves based on historical performance, where data is available; </w:t>
            </w:r>
          </w:p>
          <w:p w:rsidR="00BA1D57" w:rsidRPr="001846DA" w:rsidRDefault="00BA1D57" w:rsidP="00BA1D57">
            <w:pPr>
              <w:pStyle w:val="Lijstalinea"/>
              <w:numPr>
                <w:ilvl w:val="0"/>
                <w:numId w:val="11"/>
              </w:num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Shifts of the currency pairs relevant to the covered bond programme based on historical performance, where data is available; </w:t>
            </w:r>
          </w:p>
          <w:p w:rsidR="00BA1D57" w:rsidRPr="001846DA" w:rsidRDefault="00BA1D57" w:rsidP="00BA1D57">
            <w:pPr>
              <w:pStyle w:val="Lijstalinea"/>
              <w:numPr>
                <w:ilvl w:val="0"/>
                <w:numId w:val="11"/>
              </w:num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Stresses on the credit quality of the underlying assets based on historical performance, where data is available; </w:t>
            </w:r>
          </w:p>
          <w:p w:rsidR="00BA1D57" w:rsidRPr="001846DA" w:rsidRDefault="00BA1D57" w:rsidP="00BA1D57">
            <w:pPr>
              <w:pStyle w:val="Lijstalinea"/>
              <w:numPr>
                <w:ilvl w:val="0"/>
                <w:numId w:val="11"/>
              </w:numPr>
              <w:autoSpaceDE w:val="0"/>
              <w:autoSpaceDN w:val="0"/>
              <w:adjustRightInd w:val="0"/>
              <w:spacing w:after="0" w:line="240" w:lineRule="auto"/>
              <w:rPr>
                <w:rFonts w:cs="Calibri"/>
                <w:i/>
                <w:color w:val="002060"/>
                <w:lang w:val="en-GB"/>
              </w:rPr>
            </w:pPr>
            <w:r w:rsidRPr="001846DA">
              <w:rPr>
                <w:rFonts w:ascii="Calibri" w:hAnsi="Calibri" w:cs="Calibri"/>
                <w:i/>
                <w:color w:val="002060"/>
                <w:lang w:val="en-GB"/>
              </w:rPr>
              <w:t xml:space="preserve">Stresses on the re-payment behaviour of the underlying assets based on historical performance, where data is available; </w:t>
            </w:r>
          </w:p>
          <w:p w:rsidR="00BA1D57" w:rsidRPr="001846DA" w:rsidRDefault="00BA1D57" w:rsidP="00BA1D57">
            <w:pPr>
              <w:pStyle w:val="Lijstalinea"/>
              <w:numPr>
                <w:ilvl w:val="0"/>
                <w:numId w:val="11"/>
              </w:numPr>
              <w:autoSpaceDE w:val="0"/>
              <w:autoSpaceDN w:val="0"/>
              <w:adjustRightInd w:val="0"/>
              <w:spacing w:after="0" w:line="240" w:lineRule="auto"/>
              <w:rPr>
                <w:rFonts w:cs="Calibri"/>
                <w:i/>
                <w:color w:val="002060"/>
                <w:lang w:val="en-GB"/>
              </w:rPr>
            </w:pPr>
            <w:r w:rsidRPr="001846DA">
              <w:rPr>
                <w:rFonts w:ascii="Calibri" w:hAnsi="Calibri" w:cs="Calibri"/>
                <w:i/>
                <w:color w:val="002060"/>
                <w:lang w:val="en-GB"/>
              </w:rPr>
              <w:t>Stresses on the liquidation price of the underlying assets based on historical performance, where data is available</w:t>
            </w:r>
          </w:p>
          <w:p w:rsidR="00BA1D57" w:rsidRPr="001846DA" w:rsidRDefault="00BA1D57" w:rsidP="00BA1D57">
            <w:pPr>
              <w:pStyle w:val="Default"/>
              <w:rPr>
                <w:rFonts w:asciiTheme="minorHAnsi" w:hAnsiTheme="minorHAnsi"/>
                <w:i/>
                <w:color w:val="002060"/>
                <w:sz w:val="22"/>
                <w:szCs w:val="22"/>
              </w:rPr>
            </w:pPr>
            <w:r w:rsidRPr="001846DA">
              <w:rPr>
                <w:rFonts w:asciiTheme="minorHAnsi" w:hAnsiTheme="minorHAnsi"/>
                <w:i/>
                <w:color w:val="002060"/>
                <w:sz w:val="22"/>
                <w:szCs w:val="22"/>
              </w:rPr>
              <w:t xml:space="preserve">The stress test should also take into account other risks, including but not limited to, set-off risks and commingling risks. </w:t>
            </w:r>
          </w:p>
          <w:p w:rsidR="00BA1D57" w:rsidRPr="001846DA" w:rsidRDefault="00BA1D57" w:rsidP="000E3980">
            <w:pPr>
              <w:autoSpaceDE w:val="0"/>
              <w:autoSpaceDN w:val="0"/>
              <w:adjustRightInd w:val="0"/>
              <w:spacing w:after="0" w:line="240" w:lineRule="auto"/>
              <w:rPr>
                <w:rFonts w:ascii="Calibri" w:hAnsi="Calibri" w:cs="Calibri"/>
                <w:b/>
                <w:bCs/>
                <w:i/>
                <w:color w:val="0070C0"/>
                <w:sz w:val="24"/>
                <w:lang w:val="en-GB"/>
              </w:rPr>
            </w:pPr>
          </w:p>
        </w:tc>
      </w:tr>
      <w:tr w:rsidR="00636950" w:rsidRPr="000B7EAE" w:rsidTr="001846DA">
        <w:trPr>
          <w:trHeight w:val="110"/>
        </w:trPr>
        <w:tc>
          <w:tcPr>
            <w:tcW w:w="9037" w:type="dxa"/>
            <w:tcBorders>
              <w:top w:val="single" w:sz="12" w:space="0" w:color="auto"/>
            </w:tcBorders>
          </w:tcPr>
          <w:p w:rsidR="00636950" w:rsidRPr="00636950" w:rsidRDefault="00636950" w:rsidP="00636950">
            <w:pPr>
              <w:autoSpaceDE w:val="0"/>
              <w:autoSpaceDN w:val="0"/>
              <w:adjustRightInd w:val="0"/>
              <w:spacing w:after="0" w:line="240" w:lineRule="auto"/>
              <w:rPr>
                <w:rFonts w:ascii="Calibri" w:hAnsi="Calibri" w:cs="Calibri"/>
                <w:color w:val="0070C0"/>
                <w:sz w:val="24"/>
                <w:lang w:val="en-GB"/>
              </w:rPr>
            </w:pPr>
          </w:p>
        </w:tc>
      </w:tr>
      <w:tr w:rsidR="00636950" w:rsidRPr="000B7EAE">
        <w:trPr>
          <w:trHeight w:val="1728"/>
        </w:trPr>
        <w:tc>
          <w:tcPr>
            <w:tcW w:w="9037" w:type="dxa"/>
          </w:tcPr>
          <w:p w:rsidR="00636950" w:rsidRPr="00636950" w:rsidRDefault="00636950" w:rsidP="00636950">
            <w:pPr>
              <w:autoSpaceDE w:val="0"/>
              <w:autoSpaceDN w:val="0"/>
              <w:adjustRightInd w:val="0"/>
              <w:spacing w:after="0" w:line="240" w:lineRule="auto"/>
              <w:rPr>
                <w:rFonts w:ascii="Calibri" w:hAnsi="Calibri" w:cs="Calibri"/>
                <w:color w:val="000000"/>
                <w:sz w:val="16"/>
                <w:szCs w:val="16"/>
                <w:lang w:val="en-GB"/>
              </w:rPr>
            </w:pPr>
          </w:p>
          <w:p w:rsidR="00636950" w:rsidRDefault="00636950" w:rsidP="00636950">
            <w:pPr>
              <w:rPr>
                <w:rFonts w:cs="Times New Roman"/>
                <w:b/>
                <w:szCs w:val="26"/>
                <w:lang w:val="en-GB"/>
              </w:rPr>
            </w:pPr>
            <w:r w:rsidRPr="0023704B">
              <w:rPr>
                <w:rFonts w:cs="Times New Roman"/>
                <w:b/>
                <w:szCs w:val="26"/>
                <w:lang w:val="en-GB"/>
              </w:rPr>
              <w:t>Opinion DACB: fully compliant</w:t>
            </w:r>
          </w:p>
          <w:p w:rsidR="00287DD2" w:rsidRDefault="00287DD2" w:rsidP="00287DD2">
            <w:pPr>
              <w:rPr>
                <w:rFonts w:cs="Times New Roman"/>
                <w:szCs w:val="26"/>
                <w:lang w:val="en-GB"/>
              </w:rPr>
            </w:pPr>
            <w:r>
              <w:rPr>
                <w:rFonts w:cs="Times New Roman"/>
                <w:szCs w:val="26"/>
                <w:lang w:val="en-GB"/>
              </w:rPr>
              <w:t xml:space="preserve">The stress test for Dutch issuers is currently (January 1, 2015) being developed in close cooperation with the Dutch Central Bank. </w:t>
            </w:r>
            <w:r w:rsidR="002C078B">
              <w:rPr>
                <w:rFonts w:cs="Times New Roman"/>
                <w:szCs w:val="26"/>
                <w:lang w:val="en-GB"/>
              </w:rPr>
              <w:t xml:space="preserve">In </w:t>
            </w:r>
            <w:r>
              <w:rPr>
                <w:rFonts w:cs="Times New Roman"/>
                <w:szCs w:val="26"/>
                <w:lang w:val="en-GB"/>
              </w:rPr>
              <w:t>the</w:t>
            </w:r>
            <w:r w:rsidR="002C078B">
              <w:rPr>
                <w:rFonts w:cs="Times New Roman"/>
                <w:szCs w:val="26"/>
                <w:lang w:val="en-GB"/>
              </w:rPr>
              <w:t>ir</w:t>
            </w:r>
            <w:r>
              <w:rPr>
                <w:rFonts w:cs="Times New Roman"/>
                <w:szCs w:val="26"/>
                <w:lang w:val="en-GB"/>
              </w:rPr>
              <w:t xml:space="preserve"> stress test </w:t>
            </w:r>
            <w:r w:rsidR="002C078B">
              <w:rPr>
                <w:rFonts w:cs="Times New Roman"/>
                <w:szCs w:val="26"/>
                <w:lang w:val="en-GB"/>
              </w:rPr>
              <w:t xml:space="preserve">Dutch issuers have to take </w:t>
            </w:r>
            <w:r>
              <w:rPr>
                <w:rFonts w:cs="Times New Roman"/>
                <w:szCs w:val="26"/>
                <w:lang w:val="en-GB"/>
              </w:rPr>
              <w:t>the following factors into account:</w:t>
            </w:r>
          </w:p>
          <w:p w:rsidR="00287DD2" w:rsidRDefault="00287DD2" w:rsidP="00287DD2">
            <w:pPr>
              <w:pStyle w:val="Lijstalinea"/>
              <w:numPr>
                <w:ilvl w:val="0"/>
                <w:numId w:val="13"/>
              </w:numPr>
              <w:rPr>
                <w:rFonts w:cs="Times New Roman"/>
                <w:szCs w:val="26"/>
                <w:lang w:val="en-GB"/>
              </w:rPr>
            </w:pPr>
            <w:r>
              <w:rPr>
                <w:rFonts w:cs="Times New Roman"/>
                <w:szCs w:val="26"/>
                <w:lang w:val="en-GB"/>
              </w:rPr>
              <w:t>Credit risk</w:t>
            </w:r>
          </w:p>
          <w:p w:rsidR="00287DD2" w:rsidRDefault="00287DD2" w:rsidP="00287DD2">
            <w:pPr>
              <w:pStyle w:val="Lijstalinea"/>
              <w:numPr>
                <w:ilvl w:val="0"/>
                <w:numId w:val="13"/>
              </w:numPr>
              <w:rPr>
                <w:rFonts w:cs="Times New Roman"/>
                <w:szCs w:val="26"/>
                <w:lang w:val="en-GB"/>
              </w:rPr>
            </w:pPr>
            <w:r>
              <w:rPr>
                <w:rFonts w:cs="Times New Roman"/>
                <w:szCs w:val="26"/>
                <w:lang w:val="en-GB"/>
              </w:rPr>
              <w:t>Currency and interest rate risk</w:t>
            </w:r>
          </w:p>
          <w:p w:rsidR="00287DD2" w:rsidRDefault="00287DD2" w:rsidP="00287DD2">
            <w:pPr>
              <w:pStyle w:val="Lijstalinea"/>
              <w:numPr>
                <w:ilvl w:val="0"/>
                <w:numId w:val="13"/>
              </w:numPr>
              <w:rPr>
                <w:rFonts w:cs="Times New Roman"/>
                <w:szCs w:val="26"/>
                <w:lang w:val="en-GB"/>
              </w:rPr>
            </w:pPr>
            <w:r>
              <w:rPr>
                <w:rFonts w:cs="Times New Roman"/>
                <w:szCs w:val="26"/>
                <w:lang w:val="en-GB"/>
              </w:rPr>
              <w:t>Liquidity risk</w:t>
            </w:r>
          </w:p>
          <w:p w:rsidR="00287DD2" w:rsidRDefault="00287DD2" w:rsidP="00287DD2">
            <w:pPr>
              <w:pStyle w:val="Lijstalinea"/>
              <w:numPr>
                <w:ilvl w:val="0"/>
                <w:numId w:val="13"/>
              </w:numPr>
              <w:rPr>
                <w:rFonts w:cs="Times New Roman"/>
                <w:szCs w:val="26"/>
                <w:lang w:val="en-GB"/>
              </w:rPr>
            </w:pPr>
            <w:r>
              <w:rPr>
                <w:rFonts w:cs="Times New Roman"/>
                <w:szCs w:val="26"/>
                <w:lang w:val="en-GB"/>
              </w:rPr>
              <w:t>Any other risks deemed relevant by the Dutch Central Bank</w:t>
            </w:r>
          </w:p>
          <w:p w:rsidR="002C078B" w:rsidRDefault="00287DD2" w:rsidP="00287DD2">
            <w:pPr>
              <w:rPr>
                <w:rFonts w:cs="Times New Roman"/>
                <w:szCs w:val="26"/>
                <w:lang w:val="en-GB"/>
              </w:rPr>
            </w:pPr>
            <w:r>
              <w:rPr>
                <w:rFonts w:cs="Times New Roman"/>
                <w:szCs w:val="26"/>
                <w:lang w:val="en-GB"/>
              </w:rPr>
              <w:t>The main aim of the stress test is to ensure that Dutch issuers maintain a healthy balance sheet ratio with respect to the assets used as cover pool assets and the freely available eligible assets on their balance sheet (i.e. the assets that have not been transferred to the Covered Bond Company as cover pool assets). This healthy ratio is determined on an issuer-by-</w:t>
            </w:r>
            <w:proofErr w:type="spellStart"/>
            <w:r>
              <w:rPr>
                <w:rFonts w:cs="Times New Roman"/>
                <w:szCs w:val="26"/>
                <w:lang w:val="en-GB"/>
              </w:rPr>
              <w:t>issuer</w:t>
            </w:r>
            <w:proofErr w:type="spellEnd"/>
            <w:r>
              <w:rPr>
                <w:rFonts w:cs="Times New Roman"/>
                <w:szCs w:val="26"/>
                <w:lang w:val="en-GB"/>
              </w:rPr>
              <w:t xml:space="preserve"> basis by the Dutch Central Bank. </w:t>
            </w:r>
            <w:r w:rsidR="001E113A">
              <w:rPr>
                <w:rFonts w:cs="Times New Roman"/>
                <w:szCs w:val="26"/>
                <w:lang w:val="en-GB"/>
              </w:rPr>
              <w:t xml:space="preserve"> </w:t>
            </w:r>
            <w:r w:rsidR="002C078B">
              <w:rPr>
                <w:rFonts w:cs="Times New Roman"/>
                <w:szCs w:val="26"/>
                <w:lang w:val="en-GB"/>
              </w:rPr>
              <w:t xml:space="preserve">We refer to </w:t>
            </w:r>
            <w:r w:rsidR="001E113A">
              <w:rPr>
                <w:rFonts w:cs="Times New Roman"/>
                <w:szCs w:val="26"/>
                <w:lang w:val="en-GB"/>
              </w:rPr>
              <w:t xml:space="preserve">Article 40i of the </w:t>
            </w:r>
            <w:proofErr w:type="spellStart"/>
            <w:r w:rsidR="001E113A">
              <w:rPr>
                <w:rFonts w:cs="Times New Roman"/>
                <w:szCs w:val="26"/>
                <w:lang w:val="en-GB"/>
              </w:rPr>
              <w:t>Bpr</w:t>
            </w:r>
            <w:proofErr w:type="spellEnd"/>
            <w:r w:rsidR="001E113A">
              <w:rPr>
                <w:rFonts w:cs="Times New Roman"/>
                <w:szCs w:val="26"/>
                <w:lang w:val="en-GB"/>
              </w:rPr>
              <w:t xml:space="preserve"> and </w:t>
            </w:r>
            <w:r w:rsidR="002C078B">
              <w:rPr>
                <w:rFonts w:cs="Times New Roman"/>
                <w:szCs w:val="26"/>
                <w:lang w:val="en-GB"/>
              </w:rPr>
              <w:t>Article 20g of the Ur.</w:t>
            </w:r>
          </w:p>
          <w:p w:rsidR="00313192" w:rsidRPr="00F57F89" w:rsidRDefault="00313192" w:rsidP="00EC66BC">
            <w:pPr>
              <w:rPr>
                <w:rFonts w:cs="Times New Roman"/>
                <w:color w:val="FF0000"/>
                <w:szCs w:val="26"/>
                <w:lang w:val="en-GB"/>
              </w:rPr>
            </w:pPr>
            <w:r w:rsidRPr="00EC66BC">
              <w:rPr>
                <w:rFonts w:cs="Times New Roman"/>
                <w:color w:val="FF0000"/>
                <w:szCs w:val="26"/>
                <w:lang w:val="en-GB"/>
              </w:rPr>
              <w:lastRenderedPageBreak/>
              <w:t xml:space="preserve">The commingling risk has been addressed by Dutch issuers either by way of contractual agreement (transaction documentation) or by creating a </w:t>
            </w:r>
            <w:r w:rsidR="00EC66BC" w:rsidRPr="00EC66BC">
              <w:rPr>
                <w:rFonts w:cs="Times New Roman"/>
                <w:color w:val="FF0000"/>
                <w:szCs w:val="26"/>
                <w:lang w:val="en-GB"/>
              </w:rPr>
              <w:t xml:space="preserve">collection foundation that collects all payments.  </w:t>
            </w:r>
          </w:p>
          <w:p w:rsidR="00287DD2" w:rsidRPr="00E75E6E" w:rsidRDefault="00833DBF" w:rsidP="00287DD2">
            <w:pPr>
              <w:rPr>
                <w:rFonts w:cs="Times New Roman"/>
                <w:color w:val="FF0000"/>
                <w:szCs w:val="26"/>
                <w:lang w:val="en-GB"/>
              </w:rPr>
            </w:pPr>
            <w:r w:rsidRPr="00E75E6E">
              <w:rPr>
                <w:rFonts w:cs="Times New Roman"/>
                <w:color w:val="FF0000"/>
                <w:szCs w:val="26"/>
                <w:lang w:val="en-GB"/>
              </w:rPr>
              <w:t>In their programs the Issuers take set off risks also into account</w:t>
            </w:r>
            <w:r w:rsidR="001430E6" w:rsidRPr="00E75E6E">
              <w:rPr>
                <w:rFonts w:cs="Times New Roman"/>
                <w:color w:val="FF0000"/>
                <w:szCs w:val="26"/>
                <w:lang w:val="en-GB"/>
              </w:rPr>
              <w:t xml:space="preserve"> by effectively increasing the cover pool</w:t>
            </w:r>
            <w:r w:rsidRPr="00E75E6E">
              <w:rPr>
                <w:rFonts w:cs="Times New Roman"/>
                <w:color w:val="FF0000"/>
                <w:szCs w:val="26"/>
                <w:lang w:val="en-GB"/>
              </w:rPr>
              <w:t xml:space="preserve">. </w:t>
            </w:r>
            <w:r w:rsidR="001430E6" w:rsidRPr="00E75E6E">
              <w:rPr>
                <w:rFonts w:cs="Times New Roman"/>
                <w:color w:val="FF0000"/>
                <w:szCs w:val="26"/>
                <w:lang w:val="en-GB"/>
              </w:rPr>
              <w:t xml:space="preserve">Deposit set off risk is mitigated by deducting amounts, that are deposited by the borrowers </w:t>
            </w:r>
            <w:r w:rsidR="00597EF5" w:rsidRPr="00E75E6E">
              <w:rPr>
                <w:rFonts w:cs="Times New Roman"/>
                <w:color w:val="FF0000"/>
                <w:szCs w:val="26"/>
                <w:lang w:val="en-GB"/>
              </w:rPr>
              <w:t>with</w:t>
            </w:r>
            <w:r w:rsidR="001430E6" w:rsidRPr="00E75E6E">
              <w:rPr>
                <w:rFonts w:cs="Times New Roman"/>
                <w:color w:val="FF0000"/>
                <w:szCs w:val="26"/>
                <w:lang w:val="en-GB"/>
              </w:rPr>
              <w:t xml:space="preserve"> the issuer, in the asset cover test. Insurance set off risk is mitigated by a decrease of the asset percentage</w:t>
            </w:r>
            <w:r w:rsidR="00597EF5" w:rsidRPr="00E75E6E">
              <w:rPr>
                <w:rFonts w:cs="Times New Roman"/>
                <w:color w:val="FF0000"/>
                <w:szCs w:val="26"/>
                <w:lang w:val="en-GB"/>
              </w:rPr>
              <w:t xml:space="preserve"> and/or </w:t>
            </w:r>
            <w:r w:rsidR="001430E6" w:rsidRPr="00E75E6E">
              <w:rPr>
                <w:rFonts w:cs="Times New Roman"/>
                <w:color w:val="FF0000"/>
                <w:szCs w:val="26"/>
                <w:lang w:val="en-GB"/>
              </w:rPr>
              <w:t xml:space="preserve">by a deduction through the asset cover test.  </w:t>
            </w:r>
          </w:p>
          <w:p w:rsidR="007A4292" w:rsidRDefault="007A4292" w:rsidP="00636950">
            <w:pPr>
              <w:autoSpaceDE w:val="0"/>
              <w:autoSpaceDN w:val="0"/>
              <w:adjustRightInd w:val="0"/>
              <w:spacing w:after="0" w:line="240" w:lineRule="auto"/>
              <w:rPr>
                <w:b/>
                <w:bCs/>
                <w:color w:val="0070C0"/>
                <w:sz w:val="28"/>
                <w:szCs w:val="23"/>
                <w:lang w:val="en-GB"/>
              </w:rPr>
            </w:pPr>
          </w:p>
          <w:p w:rsidR="00636950" w:rsidRPr="0051036C" w:rsidRDefault="00967CF3" w:rsidP="00636950">
            <w:pPr>
              <w:autoSpaceDE w:val="0"/>
              <w:autoSpaceDN w:val="0"/>
              <w:adjustRightInd w:val="0"/>
              <w:spacing w:after="0" w:line="240" w:lineRule="auto"/>
              <w:rPr>
                <w:b/>
                <w:bCs/>
                <w:color w:val="0070C0"/>
                <w:sz w:val="28"/>
                <w:szCs w:val="23"/>
                <w:lang w:val="en-GB"/>
              </w:rPr>
            </w:pPr>
            <w:r w:rsidRPr="0051036C">
              <w:rPr>
                <w:b/>
                <w:bCs/>
                <w:color w:val="0070C0"/>
                <w:sz w:val="28"/>
                <w:szCs w:val="23"/>
                <w:lang w:val="en-GB"/>
              </w:rPr>
              <w:t>Role of the competent authority and monitoring of the cover pool</w:t>
            </w:r>
          </w:p>
          <w:p w:rsidR="00967CF3" w:rsidRDefault="00967CF3" w:rsidP="00636950">
            <w:pPr>
              <w:autoSpaceDE w:val="0"/>
              <w:autoSpaceDN w:val="0"/>
              <w:adjustRightInd w:val="0"/>
              <w:spacing w:after="0" w:line="240" w:lineRule="auto"/>
              <w:rPr>
                <w:b/>
                <w:bCs/>
                <w:sz w:val="23"/>
                <w:szCs w:val="23"/>
                <w:lang w:val="en-GB"/>
              </w:rPr>
            </w:pPr>
          </w:p>
          <w:tbl>
            <w:tblPr>
              <w:tblW w:w="882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27"/>
            </w:tblGrid>
            <w:tr w:rsidR="00967CF3" w:rsidRPr="000B7EAE" w:rsidTr="00FA1FDD">
              <w:trPr>
                <w:trHeight w:val="112"/>
              </w:trPr>
              <w:tc>
                <w:tcPr>
                  <w:tcW w:w="8827" w:type="dxa"/>
                </w:tcPr>
                <w:p w:rsidR="00967CF3" w:rsidRPr="00967CF3" w:rsidRDefault="00967CF3" w:rsidP="00967CF3">
                  <w:pPr>
                    <w:autoSpaceDE w:val="0"/>
                    <w:autoSpaceDN w:val="0"/>
                    <w:adjustRightInd w:val="0"/>
                    <w:spacing w:after="0" w:line="240" w:lineRule="auto"/>
                    <w:rPr>
                      <w:rFonts w:ascii="Calibri" w:hAnsi="Calibri" w:cs="Calibri"/>
                      <w:color w:val="000000"/>
                      <w:lang w:val="en-GB"/>
                    </w:rPr>
                  </w:pPr>
                  <w:r w:rsidRPr="00967CF3">
                    <w:rPr>
                      <w:rFonts w:ascii="Calibri" w:hAnsi="Calibri" w:cs="Calibri"/>
                      <w:b/>
                      <w:bCs/>
                      <w:color w:val="0070C0"/>
                      <w:sz w:val="24"/>
                      <w:lang w:val="en-GB"/>
                    </w:rPr>
                    <w:t>Best practice 7 - A: Appointment of the Cover Pool Monitor</w:t>
                  </w:r>
                  <w:r w:rsidRPr="00967CF3">
                    <w:rPr>
                      <w:rFonts w:ascii="Calibri" w:hAnsi="Calibri" w:cs="Calibri"/>
                      <w:b/>
                      <w:bCs/>
                      <w:color w:val="000000"/>
                      <w:lang w:val="en-GB"/>
                    </w:rPr>
                    <w:t xml:space="preserve"> </w:t>
                  </w:r>
                </w:p>
              </w:tc>
            </w:tr>
            <w:tr w:rsidR="00967CF3" w:rsidRPr="000B7EAE" w:rsidTr="00FA1FDD">
              <w:trPr>
                <w:trHeight w:val="1350"/>
              </w:trPr>
              <w:tc>
                <w:tcPr>
                  <w:tcW w:w="8827" w:type="dxa"/>
                </w:tcPr>
                <w:p w:rsidR="0051036C" w:rsidRPr="0051036C" w:rsidRDefault="0051036C" w:rsidP="00967CF3">
                  <w:pPr>
                    <w:autoSpaceDE w:val="0"/>
                    <w:autoSpaceDN w:val="0"/>
                    <w:adjustRightInd w:val="0"/>
                    <w:spacing w:after="0" w:line="240" w:lineRule="auto"/>
                    <w:rPr>
                      <w:rFonts w:ascii="Calibri" w:hAnsi="Calibri" w:cs="Calibri"/>
                      <w:color w:val="000000"/>
                      <w:sz w:val="16"/>
                      <w:szCs w:val="16"/>
                      <w:lang w:val="en-GB"/>
                    </w:rPr>
                  </w:pPr>
                </w:p>
                <w:p w:rsidR="00967CF3" w:rsidRPr="00967CF3" w:rsidRDefault="00967CF3" w:rsidP="00967CF3">
                  <w:pPr>
                    <w:autoSpaceDE w:val="0"/>
                    <w:autoSpaceDN w:val="0"/>
                    <w:adjustRightInd w:val="0"/>
                    <w:spacing w:after="0" w:line="240" w:lineRule="auto"/>
                    <w:rPr>
                      <w:rFonts w:ascii="Calibri" w:hAnsi="Calibri" w:cs="Calibri"/>
                      <w:color w:val="002060"/>
                      <w:lang w:val="en-GB"/>
                    </w:rPr>
                  </w:pPr>
                  <w:r w:rsidRPr="00967CF3">
                    <w:rPr>
                      <w:rFonts w:ascii="Calibri" w:hAnsi="Calibri" w:cs="Calibri"/>
                      <w:color w:val="002060"/>
                      <w:lang w:val="en-GB"/>
                    </w:rPr>
                    <w:t xml:space="preserve">The legal/regulatory covered bond framework should provide that, at establishment of a given covered bond programme, a cover pool monitor is appointed. The framework should: </w:t>
                  </w:r>
                  <w:proofErr w:type="spellStart"/>
                  <w:r w:rsidRPr="00967CF3">
                    <w:rPr>
                      <w:rFonts w:ascii="Calibri" w:hAnsi="Calibri" w:cs="Calibri"/>
                      <w:color w:val="002060"/>
                      <w:lang w:val="en-GB"/>
                    </w:rPr>
                    <w:t>i</w:t>
                  </w:r>
                  <w:proofErr w:type="spellEnd"/>
                  <w:r w:rsidRPr="00967CF3">
                    <w:rPr>
                      <w:rFonts w:ascii="Calibri" w:hAnsi="Calibri" w:cs="Calibri"/>
                      <w:color w:val="002060"/>
                      <w:lang w:val="en-GB"/>
                    </w:rPr>
                    <w:t xml:space="preserve">) ensure that the cover pool monitor is an internal or external entity other than the ordinary auditor of the covered bonds issuer; ii) provide for the eligibility criteria for the appointment and the cover pool monitor’s main duties and powers including, but not limited to, the monitoring of all coverage requirements and eligibility tests and the random auditing of the cover pool. </w:t>
                  </w:r>
                </w:p>
                <w:p w:rsidR="0051036C" w:rsidRPr="00481E7D" w:rsidRDefault="0051036C" w:rsidP="00967CF3">
                  <w:pPr>
                    <w:autoSpaceDE w:val="0"/>
                    <w:autoSpaceDN w:val="0"/>
                    <w:adjustRightInd w:val="0"/>
                    <w:spacing w:after="0" w:line="240" w:lineRule="auto"/>
                    <w:rPr>
                      <w:rFonts w:ascii="Calibri" w:hAnsi="Calibri" w:cs="Calibri"/>
                      <w:color w:val="002060"/>
                      <w:sz w:val="16"/>
                      <w:szCs w:val="16"/>
                      <w:lang w:val="en-GB"/>
                    </w:rPr>
                  </w:pPr>
                </w:p>
                <w:p w:rsidR="00967CF3" w:rsidRPr="00967CF3" w:rsidRDefault="00967CF3" w:rsidP="00967CF3">
                  <w:pPr>
                    <w:autoSpaceDE w:val="0"/>
                    <w:autoSpaceDN w:val="0"/>
                    <w:adjustRightInd w:val="0"/>
                    <w:spacing w:after="0" w:line="240" w:lineRule="auto"/>
                    <w:rPr>
                      <w:rFonts w:ascii="Calibri" w:hAnsi="Calibri" w:cs="Calibri"/>
                      <w:color w:val="000000"/>
                      <w:lang w:val="en-GB"/>
                    </w:rPr>
                  </w:pPr>
                  <w:r w:rsidRPr="00967CF3">
                    <w:rPr>
                      <w:rFonts w:ascii="Calibri" w:hAnsi="Calibri" w:cs="Calibri"/>
                      <w:color w:val="002060"/>
                      <w:lang w:val="en-GB"/>
                    </w:rPr>
                    <w:t xml:space="preserve">Where similar tasks are directly carried out by the competent authority the appointment of a cover pool monitor may not be necessary. The cover pool monitor and/or the issuer, based on the findings of the cover pool monitor, should regularly report to the competent authority. </w:t>
                  </w:r>
                </w:p>
              </w:tc>
            </w:tr>
          </w:tbl>
          <w:p w:rsidR="00967CF3" w:rsidRPr="00636950" w:rsidRDefault="00967CF3" w:rsidP="00636950">
            <w:pPr>
              <w:autoSpaceDE w:val="0"/>
              <w:autoSpaceDN w:val="0"/>
              <w:adjustRightInd w:val="0"/>
              <w:spacing w:after="0" w:line="240" w:lineRule="auto"/>
              <w:rPr>
                <w:rFonts w:ascii="Calibri" w:hAnsi="Calibri" w:cs="Calibri"/>
                <w:color w:val="000000"/>
                <w:lang w:val="en-GB"/>
              </w:rPr>
            </w:pPr>
          </w:p>
        </w:tc>
      </w:tr>
    </w:tbl>
    <w:p w:rsidR="00967CF3" w:rsidRDefault="00967CF3" w:rsidP="00967CF3">
      <w:pPr>
        <w:rPr>
          <w:rFonts w:cs="Times New Roman"/>
          <w:b/>
          <w:szCs w:val="26"/>
          <w:lang w:val="en-GB"/>
        </w:rPr>
      </w:pPr>
    </w:p>
    <w:p w:rsidR="00967CF3" w:rsidRPr="00193092" w:rsidRDefault="00967CF3" w:rsidP="00967CF3">
      <w:pPr>
        <w:rPr>
          <w:rFonts w:cs="Times New Roman"/>
          <w:b/>
          <w:color w:val="FF0000"/>
          <w:szCs w:val="26"/>
          <w:lang w:val="en-GB"/>
        </w:rPr>
      </w:pPr>
      <w:r w:rsidRPr="00193092">
        <w:rPr>
          <w:rFonts w:cs="Times New Roman"/>
          <w:b/>
          <w:color w:val="FF0000"/>
          <w:szCs w:val="26"/>
          <w:lang w:val="en-GB"/>
        </w:rPr>
        <w:t>Opinion DACB: fully compliant</w:t>
      </w:r>
    </w:p>
    <w:p w:rsidR="00A06F36" w:rsidRDefault="00321CF6" w:rsidP="00967CF3">
      <w:pPr>
        <w:rPr>
          <w:rFonts w:cs="Times New Roman"/>
          <w:szCs w:val="26"/>
          <w:lang w:val="en-GB"/>
        </w:rPr>
      </w:pPr>
      <w:r>
        <w:rPr>
          <w:rFonts w:cs="Times New Roman"/>
          <w:szCs w:val="26"/>
          <w:lang w:val="en-GB"/>
        </w:rPr>
        <w:t>In the Netherlands an external account</w:t>
      </w:r>
      <w:r w:rsidR="00A06F36">
        <w:rPr>
          <w:rFonts w:cs="Times New Roman"/>
          <w:szCs w:val="26"/>
          <w:lang w:val="en-GB"/>
        </w:rPr>
        <w:t>ant</w:t>
      </w:r>
      <w:r>
        <w:rPr>
          <w:rFonts w:cs="Times New Roman"/>
          <w:szCs w:val="26"/>
          <w:lang w:val="en-GB"/>
        </w:rPr>
        <w:t xml:space="preserve"> is appointed which has the following responsibilities:</w:t>
      </w:r>
    </w:p>
    <w:p w:rsidR="00330327" w:rsidRDefault="00A06F36" w:rsidP="00A06F36">
      <w:pPr>
        <w:pStyle w:val="Lijstalinea"/>
        <w:numPr>
          <w:ilvl w:val="0"/>
          <w:numId w:val="17"/>
        </w:numPr>
        <w:rPr>
          <w:rFonts w:cs="Times New Roman"/>
          <w:szCs w:val="26"/>
          <w:lang w:val="en-GB"/>
        </w:rPr>
      </w:pPr>
      <w:r>
        <w:rPr>
          <w:rFonts w:cs="Times New Roman"/>
          <w:szCs w:val="26"/>
          <w:lang w:val="en-GB"/>
        </w:rPr>
        <w:t xml:space="preserve">Check calculations related to liquidity buffer </w:t>
      </w:r>
      <w:r w:rsidR="00330327">
        <w:rPr>
          <w:rFonts w:cs="Times New Roman"/>
          <w:szCs w:val="26"/>
          <w:lang w:val="en-GB"/>
        </w:rPr>
        <w:t>(at least annually)</w:t>
      </w:r>
    </w:p>
    <w:p w:rsidR="00A06F36" w:rsidRDefault="00330327" w:rsidP="00A06F36">
      <w:pPr>
        <w:pStyle w:val="Lijstalinea"/>
        <w:numPr>
          <w:ilvl w:val="0"/>
          <w:numId w:val="17"/>
        </w:numPr>
        <w:rPr>
          <w:rFonts w:cs="Times New Roman"/>
          <w:szCs w:val="26"/>
          <w:lang w:val="en-GB"/>
        </w:rPr>
      </w:pPr>
      <w:r>
        <w:rPr>
          <w:rFonts w:cs="Times New Roman"/>
          <w:szCs w:val="26"/>
          <w:lang w:val="en-GB"/>
        </w:rPr>
        <w:t xml:space="preserve">Check calculations related to </w:t>
      </w:r>
      <w:r w:rsidR="00A06F36">
        <w:rPr>
          <w:rFonts w:cs="Times New Roman"/>
          <w:szCs w:val="26"/>
          <w:lang w:val="en-GB"/>
        </w:rPr>
        <w:t>over-collateralisation</w:t>
      </w:r>
      <w:r>
        <w:rPr>
          <w:rFonts w:cs="Times New Roman"/>
          <w:szCs w:val="26"/>
          <w:lang w:val="en-GB"/>
        </w:rPr>
        <w:t xml:space="preserve"> ratios</w:t>
      </w:r>
      <w:r w:rsidR="00A06F36">
        <w:rPr>
          <w:rFonts w:cs="Times New Roman"/>
          <w:szCs w:val="26"/>
          <w:lang w:val="en-GB"/>
        </w:rPr>
        <w:t xml:space="preserve"> (at least annually)</w:t>
      </w:r>
    </w:p>
    <w:p w:rsidR="00A06F36" w:rsidRPr="00A06F36" w:rsidRDefault="00330327" w:rsidP="00A06F36">
      <w:pPr>
        <w:pStyle w:val="Lijstalinea"/>
        <w:numPr>
          <w:ilvl w:val="0"/>
          <w:numId w:val="17"/>
        </w:numPr>
        <w:rPr>
          <w:rFonts w:cs="Times New Roman"/>
          <w:szCs w:val="26"/>
          <w:lang w:val="en-GB"/>
        </w:rPr>
      </w:pPr>
      <w:r>
        <w:rPr>
          <w:rFonts w:cs="Times New Roman"/>
          <w:szCs w:val="26"/>
          <w:lang w:val="en-GB"/>
        </w:rPr>
        <w:t xml:space="preserve">Check files of cover pool assets on a random basis (at least annually) </w:t>
      </w:r>
    </w:p>
    <w:p w:rsidR="00321CF6" w:rsidRDefault="00321CF6" w:rsidP="00967CF3">
      <w:pPr>
        <w:rPr>
          <w:rFonts w:cs="Times New Roman"/>
          <w:szCs w:val="26"/>
          <w:lang w:val="en-GB"/>
        </w:rPr>
      </w:pPr>
      <w:r>
        <w:rPr>
          <w:rFonts w:cs="Times New Roman"/>
          <w:szCs w:val="26"/>
          <w:lang w:val="en-GB"/>
        </w:rPr>
        <w:t xml:space="preserve">We refer to Article 20f of the Ur. </w:t>
      </w:r>
    </w:p>
    <w:p w:rsidR="002C6354" w:rsidRDefault="002C6354" w:rsidP="00967CF3">
      <w:pPr>
        <w:rPr>
          <w:rFonts w:cs="Times New Roman"/>
          <w:szCs w:val="26"/>
          <w:lang w:val="en-GB"/>
        </w:rPr>
      </w:pPr>
    </w:p>
    <w:tbl>
      <w:tblPr>
        <w:tblW w:w="0" w:type="auto"/>
        <w:tblBorders>
          <w:top w:val="nil"/>
          <w:left w:val="nil"/>
          <w:bottom w:val="nil"/>
          <w:right w:val="nil"/>
        </w:tblBorders>
        <w:tblLayout w:type="fixed"/>
        <w:tblLook w:val="0000" w:firstRow="0" w:lastRow="0" w:firstColumn="0" w:lastColumn="0" w:noHBand="0" w:noVBand="0"/>
      </w:tblPr>
      <w:tblGrid>
        <w:gridCol w:w="9037"/>
      </w:tblGrid>
      <w:tr w:rsidR="00967CF3" w:rsidRPr="000B7EAE">
        <w:trPr>
          <w:trHeight w:val="110"/>
        </w:trPr>
        <w:tc>
          <w:tcPr>
            <w:tcW w:w="9037" w:type="dxa"/>
          </w:tcPr>
          <w:tbl>
            <w:tblPr>
              <w:tblW w:w="87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97"/>
            </w:tblGrid>
            <w:tr w:rsidR="00770859" w:rsidRPr="000B7EAE" w:rsidTr="00FA1FDD">
              <w:trPr>
                <w:trHeight w:val="112"/>
              </w:trPr>
              <w:tc>
                <w:tcPr>
                  <w:tcW w:w="8797" w:type="dxa"/>
                </w:tcPr>
                <w:p w:rsidR="00770859" w:rsidRPr="001846DA" w:rsidRDefault="00770859" w:rsidP="006B5DF3">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Best practice 7 - B: Supervision of covered bond issuer</w:t>
                  </w:r>
                </w:p>
              </w:tc>
            </w:tr>
            <w:tr w:rsidR="00770859" w:rsidRPr="000B7EAE" w:rsidTr="00FA1FDD">
              <w:trPr>
                <w:trHeight w:val="1354"/>
              </w:trPr>
              <w:tc>
                <w:tcPr>
                  <w:tcW w:w="8797" w:type="dxa"/>
                </w:tcPr>
                <w:p w:rsidR="00770859" w:rsidRPr="001846DA" w:rsidRDefault="00770859" w:rsidP="006B5DF3">
                  <w:pPr>
                    <w:autoSpaceDE w:val="0"/>
                    <w:autoSpaceDN w:val="0"/>
                    <w:adjustRightInd w:val="0"/>
                    <w:spacing w:after="0" w:line="240" w:lineRule="auto"/>
                    <w:rPr>
                      <w:rFonts w:ascii="Calibri" w:hAnsi="Calibri" w:cs="Calibri"/>
                      <w:i/>
                      <w:color w:val="000000"/>
                      <w:sz w:val="16"/>
                      <w:szCs w:val="16"/>
                      <w:lang w:val="en-GB"/>
                    </w:rPr>
                  </w:pPr>
                </w:p>
                <w:p w:rsidR="00770859" w:rsidRPr="001846DA" w:rsidRDefault="00770859" w:rsidP="00770859">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provide that the competent authority approves the establishment, by a given issuer, of a covered bond programme. A covered bond programme shall be considered to have been established when a cover pool is established for the inaugural covered bond issue. Within the same covered bond programme additional collateral may be subsequently added to the cover pool and further covered bonds may be issued granting investors claims which rank </w:t>
                  </w:r>
                  <w:proofErr w:type="spellStart"/>
                  <w:r w:rsidRPr="00770859">
                    <w:rPr>
                      <w:rFonts w:ascii="Calibri" w:hAnsi="Calibri" w:cs="Calibri"/>
                      <w:i/>
                      <w:iCs/>
                      <w:color w:val="002060"/>
                      <w:lang w:val="en-GB"/>
                    </w:rPr>
                    <w:t>pari</w:t>
                  </w:r>
                  <w:proofErr w:type="spellEnd"/>
                  <w:r w:rsidRPr="00770859">
                    <w:rPr>
                      <w:rFonts w:ascii="Calibri" w:hAnsi="Calibri" w:cs="Calibri"/>
                      <w:i/>
                      <w:iCs/>
                      <w:color w:val="002060"/>
                      <w:lang w:val="en-GB"/>
                    </w:rPr>
                    <w:t xml:space="preserve"> </w:t>
                  </w:r>
                  <w:proofErr w:type="spellStart"/>
                  <w:r w:rsidRPr="00770859">
                    <w:rPr>
                      <w:rFonts w:ascii="Calibri" w:hAnsi="Calibri" w:cs="Calibri"/>
                      <w:i/>
                      <w:iCs/>
                      <w:color w:val="002060"/>
                      <w:lang w:val="en-GB"/>
                    </w:rPr>
                    <w:t>passu</w:t>
                  </w:r>
                  <w:proofErr w:type="spellEnd"/>
                  <w:r w:rsidRPr="00770859">
                    <w:rPr>
                      <w:rFonts w:ascii="Calibri" w:hAnsi="Calibri" w:cs="Calibri"/>
                      <w:i/>
                      <w:iCs/>
                      <w:color w:val="002060"/>
                      <w:lang w:val="en-GB"/>
                    </w:rPr>
                    <w:t xml:space="preserve"> </w:t>
                  </w:r>
                  <w:r w:rsidRPr="001846DA">
                    <w:rPr>
                      <w:rFonts w:ascii="Calibri" w:hAnsi="Calibri" w:cs="Calibri"/>
                      <w:i/>
                      <w:color w:val="002060"/>
                      <w:lang w:val="en-GB"/>
                    </w:rPr>
                    <w:t xml:space="preserve">with the claims attached to the existing bonds collateralised by the same cover pool, in the event of issuer’s insolvency. </w:t>
                  </w:r>
                </w:p>
                <w:p w:rsidR="00770859" w:rsidRPr="001846DA" w:rsidRDefault="00770859" w:rsidP="00770859">
                  <w:pPr>
                    <w:autoSpaceDE w:val="0"/>
                    <w:autoSpaceDN w:val="0"/>
                    <w:adjustRightInd w:val="0"/>
                    <w:spacing w:after="0" w:line="240" w:lineRule="auto"/>
                    <w:rPr>
                      <w:rFonts w:ascii="Calibri" w:hAnsi="Calibri" w:cs="Calibri"/>
                      <w:i/>
                      <w:color w:val="002060"/>
                      <w:sz w:val="16"/>
                      <w:szCs w:val="16"/>
                      <w:lang w:val="en-GB"/>
                    </w:rPr>
                  </w:pPr>
                </w:p>
                <w:p w:rsidR="00770859" w:rsidRPr="001846DA" w:rsidRDefault="00770859" w:rsidP="00770859">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At the establishment stage the competent authority should be satisfied, at least on the basis of information received from the issuer, that: </w:t>
                  </w:r>
                  <w:proofErr w:type="spellStart"/>
                  <w:r w:rsidRPr="001846DA">
                    <w:rPr>
                      <w:rFonts w:ascii="Calibri" w:hAnsi="Calibri" w:cs="Calibri"/>
                      <w:i/>
                      <w:color w:val="002060"/>
                      <w:lang w:val="en-GB"/>
                    </w:rPr>
                    <w:t>i</w:t>
                  </w:r>
                  <w:proofErr w:type="spellEnd"/>
                  <w:r w:rsidRPr="001846DA">
                    <w:rPr>
                      <w:rFonts w:ascii="Calibri" w:hAnsi="Calibri" w:cs="Calibri"/>
                      <w:i/>
                      <w:color w:val="002060"/>
                      <w:lang w:val="en-GB"/>
                    </w:rPr>
                    <w:t xml:space="preserve">) adequate operational policies, procedures and </w:t>
                  </w:r>
                  <w:r w:rsidRPr="001846DA">
                    <w:rPr>
                      <w:rFonts w:ascii="Calibri" w:hAnsi="Calibri" w:cs="Calibri"/>
                      <w:i/>
                      <w:color w:val="002060"/>
                      <w:lang w:val="en-GB"/>
                    </w:rPr>
                    <w:lastRenderedPageBreak/>
                    <w:t xml:space="preserve">controls are put in place by the issuer for the management of the covered bond programme, including in the event of issuer insolvency or resolution; ii) where provided by the national framework, the restrictions applicable to the issuer are met; iii) the features of the cover pool meet the applicable requirements. </w:t>
                  </w:r>
                </w:p>
                <w:p w:rsidR="00770859" w:rsidRPr="001846DA" w:rsidRDefault="00770859" w:rsidP="00770859">
                  <w:pPr>
                    <w:autoSpaceDE w:val="0"/>
                    <w:autoSpaceDN w:val="0"/>
                    <w:adjustRightInd w:val="0"/>
                    <w:spacing w:after="0" w:line="240" w:lineRule="auto"/>
                    <w:rPr>
                      <w:rFonts w:ascii="Calibri" w:hAnsi="Calibri" w:cs="Calibri"/>
                      <w:i/>
                      <w:color w:val="002060"/>
                      <w:sz w:val="16"/>
                      <w:szCs w:val="16"/>
                      <w:lang w:val="en-GB"/>
                    </w:rPr>
                  </w:pPr>
                </w:p>
                <w:p w:rsidR="00770859" w:rsidRPr="001846DA" w:rsidRDefault="00770859" w:rsidP="00770859">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EBA acknowledges that the supervisory practice of licensing specialised covered bond issuers, which only carry out the covered bonds issuance activity and related ancillary activities, may ensure a level of supervision of the issuer which is comparable to the one achieved by the authorisation of the establishment of a new covered bond programmes. In any case all the applicable requirements attached to the granting of the licence should be regularly monitored and the establishment of new covered bond programmes should as a minimum be subject to ex-ante notification to the national authority. </w:t>
                  </w:r>
                </w:p>
                <w:p w:rsidR="00770859" w:rsidRPr="001846DA" w:rsidRDefault="00770859" w:rsidP="00770859">
                  <w:pPr>
                    <w:autoSpaceDE w:val="0"/>
                    <w:autoSpaceDN w:val="0"/>
                    <w:adjustRightInd w:val="0"/>
                    <w:spacing w:after="0" w:line="240" w:lineRule="auto"/>
                    <w:rPr>
                      <w:rFonts w:ascii="Calibri" w:hAnsi="Calibri" w:cs="Calibri"/>
                      <w:i/>
                      <w:color w:val="002060"/>
                      <w:sz w:val="16"/>
                      <w:szCs w:val="16"/>
                      <w:lang w:val="en-GB"/>
                    </w:rPr>
                  </w:pPr>
                </w:p>
                <w:p w:rsidR="00770859" w:rsidRPr="001846DA" w:rsidRDefault="00770859" w:rsidP="00770859">
                  <w:pPr>
                    <w:autoSpaceDE w:val="0"/>
                    <w:autoSpaceDN w:val="0"/>
                    <w:adjustRightInd w:val="0"/>
                    <w:spacing w:after="0" w:line="240" w:lineRule="auto"/>
                    <w:rPr>
                      <w:rFonts w:ascii="Calibri" w:hAnsi="Calibri" w:cs="Calibri"/>
                      <w:i/>
                      <w:color w:val="002060"/>
                      <w:lang w:val="en-GB"/>
                    </w:rPr>
                  </w:pPr>
                  <w:r w:rsidRPr="001846DA">
                    <w:rPr>
                      <w:rFonts w:ascii="Calibri" w:hAnsi="Calibri" w:cs="Calibri"/>
                      <w:i/>
                      <w:color w:val="002060"/>
                      <w:lang w:val="en-GB"/>
                    </w:rPr>
                    <w:t xml:space="preserve">The legal/regulatory covered bond framework should provide a clear and sufficiently detailed illustration of the duties and powers of the competent authority regarding the ongoing supervision of the applicable activities/regulatory requirements of covered bond issuers. </w:t>
                  </w:r>
                </w:p>
                <w:p w:rsidR="00770859" w:rsidRPr="001846DA" w:rsidRDefault="00770859" w:rsidP="006B5DF3">
                  <w:pPr>
                    <w:autoSpaceDE w:val="0"/>
                    <w:autoSpaceDN w:val="0"/>
                    <w:adjustRightInd w:val="0"/>
                    <w:spacing w:after="0" w:line="240" w:lineRule="auto"/>
                    <w:rPr>
                      <w:rFonts w:ascii="Calibri" w:hAnsi="Calibri" w:cs="Calibri"/>
                      <w:i/>
                      <w:color w:val="000000"/>
                      <w:lang w:val="en-GB"/>
                    </w:rPr>
                  </w:pPr>
                </w:p>
              </w:tc>
            </w:tr>
          </w:tbl>
          <w:p w:rsidR="00967CF3" w:rsidRPr="00967CF3" w:rsidRDefault="00967CF3" w:rsidP="00967CF3">
            <w:pPr>
              <w:autoSpaceDE w:val="0"/>
              <w:autoSpaceDN w:val="0"/>
              <w:adjustRightInd w:val="0"/>
              <w:spacing w:after="0" w:line="240" w:lineRule="auto"/>
              <w:rPr>
                <w:rFonts w:ascii="Calibri" w:hAnsi="Calibri" w:cs="Calibri"/>
                <w:color w:val="000000"/>
                <w:lang w:val="en-GB"/>
              </w:rPr>
            </w:pPr>
          </w:p>
        </w:tc>
      </w:tr>
    </w:tbl>
    <w:p w:rsidR="00FA1FDD" w:rsidRDefault="00FA1FDD" w:rsidP="00770859">
      <w:pPr>
        <w:rPr>
          <w:rFonts w:cs="Times New Roman"/>
          <w:b/>
          <w:szCs w:val="26"/>
          <w:lang w:val="en-GB"/>
        </w:rPr>
      </w:pPr>
    </w:p>
    <w:p w:rsidR="00770859" w:rsidRDefault="00770859" w:rsidP="00770859">
      <w:pPr>
        <w:rPr>
          <w:rFonts w:cs="Times New Roman"/>
          <w:b/>
          <w:szCs w:val="26"/>
          <w:lang w:val="en-GB"/>
        </w:rPr>
      </w:pPr>
      <w:r w:rsidRPr="0023704B">
        <w:rPr>
          <w:rFonts w:cs="Times New Roman"/>
          <w:b/>
          <w:szCs w:val="26"/>
          <w:lang w:val="en-GB"/>
        </w:rPr>
        <w:t>Opinion DACB: fully compliant</w:t>
      </w:r>
    </w:p>
    <w:p w:rsidR="00770859" w:rsidRDefault="00770859" w:rsidP="00770859">
      <w:pPr>
        <w:rPr>
          <w:rFonts w:cs="Times New Roman"/>
          <w:szCs w:val="26"/>
          <w:lang w:val="en-GB"/>
        </w:rPr>
      </w:pPr>
      <w:r>
        <w:rPr>
          <w:rFonts w:cs="Times New Roman"/>
          <w:szCs w:val="26"/>
          <w:lang w:val="en-GB"/>
        </w:rPr>
        <w:t>In the Dutch legislative environment many references are made to the roles and responsibilities of the Dutch Central</w:t>
      </w:r>
      <w:r w:rsidR="00FA1FDD">
        <w:rPr>
          <w:rFonts w:cs="Times New Roman"/>
          <w:szCs w:val="26"/>
          <w:lang w:val="en-GB"/>
        </w:rPr>
        <w:t xml:space="preserve"> Bank</w:t>
      </w:r>
      <w:r>
        <w:rPr>
          <w:rFonts w:cs="Times New Roman"/>
          <w:szCs w:val="26"/>
          <w:lang w:val="en-GB"/>
        </w:rPr>
        <w:t>. These roles and responsibilities can be related to (non-exhaustive list):</w:t>
      </w:r>
    </w:p>
    <w:p w:rsidR="00770859" w:rsidRDefault="00770859" w:rsidP="00770859">
      <w:pPr>
        <w:pStyle w:val="Lijstalinea"/>
        <w:numPr>
          <w:ilvl w:val="0"/>
          <w:numId w:val="16"/>
        </w:numPr>
        <w:rPr>
          <w:rFonts w:cs="Times New Roman"/>
          <w:szCs w:val="26"/>
          <w:lang w:val="en-GB"/>
        </w:rPr>
      </w:pPr>
      <w:r>
        <w:rPr>
          <w:rFonts w:cs="Times New Roman"/>
          <w:szCs w:val="26"/>
          <w:lang w:val="en-GB"/>
        </w:rPr>
        <w:t>Adequate segregation of assets</w:t>
      </w:r>
    </w:p>
    <w:p w:rsidR="00770859" w:rsidRDefault="00770859" w:rsidP="00770859">
      <w:pPr>
        <w:pStyle w:val="Lijstalinea"/>
        <w:numPr>
          <w:ilvl w:val="0"/>
          <w:numId w:val="16"/>
        </w:numPr>
        <w:rPr>
          <w:rFonts w:cs="Times New Roman"/>
          <w:szCs w:val="26"/>
          <w:lang w:val="en-GB"/>
        </w:rPr>
      </w:pPr>
      <w:r w:rsidRPr="00DD24A5">
        <w:rPr>
          <w:rFonts w:cs="Times New Roman"/>
          <w:szCs w:val="26"/>
          <w:lang w:val="en-GB"/>
        </w:rPr>
        <w:t xml:space="preserve">Priority claim of covered bond investors </w:t>
      </w:r>
    </w:p>
    <w:p w:rsidR="00770859" w:rsidRDefault="00E75E6E" w:rsidP="00770859">
      <w:pPr>
        <w:pStyle w:val="Lijstalinea"/>
        <w:numPr>
          <w:ilvl w:val="0"/>
          <w:numId w:val="16"/>
        </w:numPr>
        <w:rPr>
          <w:rFonts w:cs="Times New Roman"/>
          <w:szCs w:val="26"/>
          <w:lang w:val="en-GB"/>
        </w:rPr>
      </w:pPr>
      <w:r>
        <w:rPr>
          <w:rFonts w:cs="Times New Roman"/>
          <w:szCs w:val="26"/>
          <w:lang w:val="en-GB"/>
        </w:rPr>
        <w:t xml:space="preserve">Compliance with </w:t>
      </w:r>
      <w:r w:rsidR="00770859" w:rsidRPr="00DD24A5">
        <w:rPr>
          <w:rFonts w:cs="Times New Roman"/>
          <w:szCs w:val="26"/>
          <w:lang w:val="en-GB"/>
        </w:rPr>
        <w:t xml:space="preserve">the requirements of Article 129 </w:t>
      </w:r>
    </w:p>
    <w:p w:rsidR="00770859" w:rsidRDefault="00770859" w:rsidP="00770859">
      <w:pPr>
        <w:pStyle w:val="Lijstalinea"/>
        <w:numPr>
          <w:ilvl w:val="0"/>
          <w:numId w:val="16"/>
        </w:numPr>
        <w:rPr>
          <w:rFonts w:cs="Times New Roman"/>
          <w:szCs w:val="26"/>
          <w:lang w:val="en-GB"/>
        </w:rPr>
      </w:pPr>
      <w:r>
        <w:rPr>
          <w:rFonts w:cs="Times New Roman"/>
          <w:szCs w:val="26"/>
          <w:lang w:val="en-GB"/>
        </w:rPr>
        <w:t xml:space="preserve">Maintenance of a healthy ratio between cover pool assets transferred to CBC and freely available eligible assets on balance sheet of issuer </w:t>
      </w:r>
    </w:p>
    <w:p w:rsidR="00770859" w:rsidRDefault="00770859" w:rsidP="00770859">
      <w:pPr>
        <w:pStyle w:val="Lijstalinea"/>
        <w:numPr>
          <w:ilvl w:val="0"/>
          <w:numId w:val="16"/>
        </w:numPr>
        <w:rPr>
          <w:rFonts w:cs="Times New Roman"/>
          <w:szCs w:val="26"/>
          <w:lang w:val="en-GB"/>
        </w:rPr>
      </w:pPr>
      <w:r>
        <w:rPr>
          <w:rFonts w:cs="Times New Roman"/>
          <w:szCs w:val="26"/>
          <w:lang w:val="en-GB"/>
        </w:rPr>
        <w:t>Approval of issuer’s plan for adequate management of the cover pool post issuer default</w:t>
      </w:r>
    </w:p>
    <w:p w:rsidR="00770859" w:rsidRDefault="00770859" w:rsidP="00770859">
      <w:pPr>
        <w:pStyle w:val="Lijstalinea"/>
        <w:numPr>
          <w:ilvl w:val="0"/>
          <w:numId w:val="16"/>
        </w:numPr>
        <w:rPr>
          <w:rFonts w:cs="Times New Roman"/>
          <w:szCs w:val="26"/>
          <w:lang w:val="en-GB"/>
        </w:rPr>
      </w:pPr>
      <w:r>
        <w:rPr>
          <w:rFonts w:cs="Times New Roman"/>
          <w:szCs w:val="26"/>
          <w:lang w:val="en-GB"/>
        </w:rPr>
        <w:t>Stress test performed by the issuer</w:t>
      </w:r>
    </w:p>
    <w:p w:rsidR="00770859" w:rsidRPr="003A2022" w:rsidRDefault="00770859" w:rsidP="00770859">
      <w:pPr>
        <w:pStyle w:val="Lijstalinea"/>
        <w:numPr>
          <w:ilvl w:val="0"/>
          <w:numId w:val="16"/>
        </w:numPr>
        <w:rPr>
          <w:rFonts w:cs="Times New Roman"/>
          <w:szCs w:val="26"/>
          <w:lang w:val="en-GB"/>
        </w:rPr>
      </w:pPr>
      <w:r>
        <w:rPr>
          <w:rFonts w:cs="Times New Roman"/>
          <w:szCs w:val="26"/>
          <w:lang w:val="en-GB"/>
        </w:rPr>
        <w:t>Does the issuer meet the minimum requirements for the liquidity buffer and over-collateralisation ratios</w:t>
      </w:r>
    </w:p>
    <w:p w:rsidR="00770859" w:rsidRDefault="00770859" w:rsidP="00770859">
      <w:pPr>
        <w:rPr>
          <w:rFonts w:cs="Times New Roman"/>
          <w:szCs w:val="26"/>
          <w:lang w:val="en-GB"/>
        </w:rPr>
      </w:pPr>
      <w:r>
        <w:rPr>
          <w:rFonts w:cs="Times New Roman"/>
          <w:szCs w:val="26"/>
          <w:lang w:val="en-GB"/>
        </w:rPr>
        <w:t>We refer to Article 3.33(a) en (b) of the law, Articles 40</w:t>
      </w:r>
      <w:r w:rsidR="00193092">
        <w:rPr>
          <w:rFonts w:cs="Times New Roman"/>
          <w:szCs w:val="26"/>
          <w:lang w:val="en-GB"/>
        </w:rPr>
        <w:t>d,</w:t>
      </w:r>
      <w:r>
        <w:rPr>
          <w:rFonts w:cs="Times New Roman"/>
          <w:szCs w:val="26"/>
          <w:lang w:val="en-GB"/>
        </w:rPr>
        <w:t xml:space="preserve">e, h and 40i of the </w:t>
      </w:r>
      <w:proofErr w:type="spellStart"/>
      <w:r>
        <w:rPr>
          <w:rFonts w:cs="Times New Roman"/>
          <w:szCs w:val="26"/>
          <w:lang w:val="en-GB"/>
        </w:rPr>
        <w:t>Bpr</w:t>
      </w:r>
      <w:proofErr w:type="spellEnd"/>
      <w:r>
        <w:rPr>
          <w:rFonts w:cs="Times New Roman"/>
          <w:szCs w:val="26"/>
          <w:lang w:val="en-GB"/>
        </w:rPr>
        <w:t xml:space="preserve"> and Articles 20a, 20d(5), 20g and 20h of the Ur. </w:t>
      </w:r>
    </w:p>
    <w:p w:rsidR="00770859" w:rsidRPr="0051036C" w:rsidRDefault="00770859" w:rsidP="00770859">
      <w:pPr>
        <w:rPr>
          <w:rFonts w:cs="Times New Roman"/>
          <w:szCs w:val="26"/>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7"/>
      </w:tblGrid>
      <w:tr w:rsidR="00770859" w:rsidRPr="000B7EAE" w:rsidTr="001846DA">
        <w:trPr>
          <w:trHeight w:val="110"/>
        </w:trPr>
        <w:tc>
          <w:tcPr>
            <w:tcW w:w="9037" w:type="dxa"/>
          </w:tcPr>
          <w:p w:rsidR="00770859" w:rsidRPr="001846DA" w:rsidRDefault="00770859" w:rsidP="006B5DF3">
            <w:pPr>
              <w:autoSpaceDE w:val="0"/>
              <w:autoSpaceDN w:val="0"/>
              <w:adjustRightInd w:val="0"/>
              <w:spacing w:after="0" w:line="240" w:lineRule="auto"/>
              <w:rPr>
                <w:rFonts w:ascii="Calibri" w:hAnsi="Calibri" w:cs="Calibri"/>
                <w:i/>
                <w:color w:val="0070C0"/>
                <w:sz w:val="24"/>
                <w:lang w:val="en-GB"/>
              </w:rPr>
            </w:pPr>
            <w:r w:rsidRPr="001846DA">
              <w:rPr>
                <w:rFonts w:ascii="Calibri" w:hAnsi="Calibri" w:cs="Calibri"/>
                <w:b/>
                <w:bCs/>
                <w:i/>
                <w:color w:val="0070C0"/>
                <w:sz w:val="24"/>
                <w:lang w:val="en-GB"/>
              </w:rPr>
              <w:t xml:space="preserve">Best practice 7 - C: Duties and powers of the national authority in the event of issuer insolvency </w:t>
            </w:r>
          </w:p>
        </w:tc>
      </w:tr>
      <w:tr w:rsidR="00770859" w:rsidRPr="000B7EAE" w:rsidTr="001846DA">
        <w:trPr>
          <w:trHeight w:val="384"/>
        </w:trPr>
        <w:tc>
          <w:tcPr>
            <w:tcW w:w="9037" w:type="dxa"/>
          </w:tcPr>
          <w:p w:rsidR="00770859" w:rsidRPr="001846DA" w:rsidRDefault="00770859" w:rsidP="006B5DF3">
            <w:pPr>
              <w:autoSpaceDE w:val="0"/>
              <w:autoSpaceDN w:val="0"/>
              <w:adjustRightInd w:val="0"/>
              <w:spacing w:after="0" w:line="240" w:lineRule="auto"/>
              <w:rPr>
                <w:rFonts w:ascii="Calibri" w:hAnsi="Calibri" w:cs="Calibri"/>
                <w:i/>
                <w:color w:val="000000"/>
                <w:sz w:val="16"/>
                <w:szCs w:val="16"/>
                <w:lang w:val="en-GB"/>
              </w:rPr>
            </w:pPr>
          </w:p>
          <w:p w:rsidR="00770859" w:rsidRPr="001846DA" w:rsidRDefault="00770859" w:rsidP="006B5DF3">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 xml:space="preserve">The legal/regulatory covered bond framework should provide a sufficiently detailed description of the duties and powers of the competent authority on the covered bond programme, as well as its administration, in the event of issuer’s default. </w:t>
            </w:r>
          </w:p>
          <w:p w:rsidR="00770859" w:rsidRPr="001846DA" w:rsidRDefault="00770859" w:rsidP="006B5DF3">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0000"/>
                <w:lang w:val="en-GB"/>
              </w:rPr>
              <w:t xml:space="preserve"> </w:t>
            </w:r>
          </w:p>
        </w:tc>
      </w:tr>
    </w:tbl>
    <w:p w:rsidR="002C6354" w:rsidRDefault="002C6354" w:rsidP="00770859">
      <w:pPr>
        <w:rPr>
          <w:rFonts w:cs="Times New Roman"/>
          <w:b/>
          <w:szCs w:val="26"/>
          <w:lang w:val="en-GB"/>
        </w:rPr>
      </w:pPr>
    </w:p>
    <w:p w:rsidR="00770859" w:rsidRDefault="00770859" w:rsidP="00770859">
      <w:pPr>
        <w:rPr>
          <w:rFonts w:cs="Times New Roman"/>
          <w:b/>
          <w:szCs w:val="26"/>
          <w:lang w:val="en-GB"/>
        </w:rPr>
      </w:pPr>
      <w:r w:rsidRPr="0023704B">
        <w:rPr>
          <w:rFonts w:cs="Times New Roman"/>
          <w:b/>
          <w:szCs w:val="26"/>
          <w:lang w:val="en-GB"/>
        </w:rPr>
        <w:t>Opinion DACB: fully compliant</w:t>
      </w:r>
    </w:p>
    <w:p w:rsidR="00EC06CD" w:rsidRDefault="00770859" w:rsidP="00EC06CD">
      <w:pPr>
        <w:autoSpaceDE w:val="0"/>
        <w:autoSpaceDN w:val="0"/>
        <w:adjustRightInd w:val="0"/>
        <w:spacing w:after="0" w:line="240" w:lineRule="auto"/>
        <w:rPr>
          <w:rFonts w:ascii="Calibri" w:hAnsi="Calibri" w:cs="Calibri"/>
          <w:color w:val="000000"/>
          <w:lang w:val="en-GB"/>
        </w:rPr>
      </w:pPr>
      <w:r w:rsidRPr="005C1644">
        <w:rPr>
          <w:rFonts w:ascii="Calibri" w:hAnsi="Calibri" w:cs="Calibri"/>
          <w:color w:val="FF0000"/>
          <w:lang w:val="en-GB"/>
        </w:rPr>
        <w:lastRenderedPageBreak/>
        <w:t xml:space="preserve">The situation post issuer default is described in a plan that the Dutch issuers have to submit to the Dutch Central Bank before they are allowed to issue covered bonds. </w:t>
      </w:r>
      <w:r w:rsidRPr="005C1644">
        <w:rPr>
          <w:rFonts w:ascii="Calibri" w:hAnsi="Calibri" w:cs="Calibri"/>
          <w:color w:val="FF0000"/>
          <w:lang w:val="en-GB"/>
        </w:rPr>
        <w:br/>
      </w:r>
      <w:r>
        <w:rPr>
          <w:rFonts w:ascii="Calibri" w:hAnsi="Calibri" w:cs="Calibri"/>
          <w:color w:val="000000"/>
          <w:lang w:val="en-GB"/>
        </w:rPr>
        <w:t>Besides this the Dutch Central Bank will never cancel the registration of any outstanding covered bonds. So whilst issuers can be de-registered, cover</w:t>
      </w:r>
      <w:r w:rsidR="00E75E6E">
        <w:rPr>
          <w:rFonts w:ascii="Calibri" w:hAnsi="Calibri" w:cs="Calibri"/>
          <w:color w:val="000000"/>
          <w:lang w:val="en-GB"/>
        </w:rPr>
        <w:t>ed</w:t>
      </w:r>
      <w:r>
        <w:rPr>
          <w:rFonts w:ascii="Calibri" w:hAnsi="Calibri" w:cs="Calibri"/>
          <w:color w:val="000000"/>
          <w:lang w:val="en-GB"/>
        </w:rPr>
        <w:t xml:space="preserve"> bonds cannot. This ensures continued oversight of the covered bonds by the Dutch Central Bank in a post default situation of the issuer (</w:t>
      </w:r>
      <w:r w:rsidR="00FA1FDD">
        <w:rPr>
          <w:rFonts w:ascii="Calibri" w:hAnsi="Calibri" w:cs="Calibri"/>
          <w:color w:val="000000"/>
          <w:lang w:val="en-GB"/>
        </w:rPr>
        <w:t xml:space="preserve">as long as they receive all the relevant information from the Trustee). </w:t>
      </w:r>
      <w:r>
        <w:rPr>
          <w:rFonts w:ascii="Calibri" w:hAnsi="Calibri" w:cs="Calibri"/>
          <w:color w:val="000000"/>
          <w:lang w:val="en-GB"/>
        </w:rPr>
        <w:t xml:space="preserve"> </w:t>
      </w:r>
    </w:p>
    <w:p w:rsidR="00EC06CD" w:rsidRDefault="00EC06CD" w:rsidP="00EC06CD">
      <w:pPr>
        <w:autoSpaceDE w:val="0"/>
        <w:autoSpaceDN w:val="0"/>
        <w:adjustRightInd w:val="0"/>
        <w:spacing w:after="0" w:line="240" w:lineRule="auto"/>
        <w:rPr>
          <w:rFonts w:ascii="Calibri" w:hAnsi="Calibri" w:cs="Calibri"/>
          <w:color w:val="000000"/>
          <w:lang w:val="en-GB"/>
        </w:rPr>
      </w:pPr>
    </w:p>
    <w:p w:rsidR="00770859" w:rsidRPr="00EC06CD" w:rsidRDefault="00770859" w:rsidP="00EC06CD">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We also refer to Article 3:33a of the Wet and 20a(c) of the Ur.</w:t>
      </w:r>
    </w:p>
    <w:p w:rsidR="00EC06CD" w:rsidRPr="001E015F" w:rsidRDefault="00EC06CD" w:rsidP="00636950">
      <w:pPr>
        <w:rPr>
          <w:b/>
          <w:bCs/>
          <w:color w:val="0070C0"/>
          <w:sz w:val="28"/>
          <w:szCs w:val="23"/>
          <w:lang w:val="en-GB"/>
        </w:rPr>
      </w:pPr>
    </w:p>
    <w:p w:rsidR="00636950" w:rsidRPr="00336E1C" w:rsidRDefault="00336E1C" w:rsidP="00636950">
      <w:pPr>
        <w:rPr>
          <w:b/>
          <w:bCs/>
          <w:color w:val="0070C0"/>
          <w:sz w:val="28"/>
          <w:szCs w:val="23"/>
        </w:rPr>
      </w:pPr>
      <w:proofErr w:type="spellStart"/>
      <w:r w:rsidRPr="00336E1C">
        <w:rPr>
          <w:b/>
          <w:bCs/>
          <w:color w:val="0070C0"/>
          <w:sz w:val="28"/>
          <w:szCs w:val="23"/>
        </w:rPr>
        <w:t>Disclosure</w:t>
      </w:r>
      <w:proofErr w:type="spellEnd"/>
      <w:r w:rsidRPr="00336E1C">
        <w:rPr>
          <w:b/>
          <w:bCs/>
          <w:color w:val="0070C0"/>
          <w:sz w:val="28"/>
          <w:szCs w:val="23"/>
        </w:rPr>
        <w:t xml:space="preserve"> </w:t>
      </w:r>
      <w:proofErr w:type="spellStart"/>
      <w:r w:rsidRPr="00336E1C">
        <w:rPr>
          <w:b/>
          <w:bCs/>
          <w:color w:val="0070C0"/>
          <w:sz w:val="28"/>
          <w:szCs w:val="23"/>
        </w:rPr>
        <w:t>to</w:t>
      </w:r>
      <w:proofErr w:type="spellEnd"/>
      <w:r w:rsidRPr="00336E1C">
        <w:rPr>
          <w:b/>
          <w:bCs/>
          <w:color w:val="0070C0"/>
          <w:sz w:val="28"/>
          <w:szCs w:val="23"/>
        </w:rPr>
        <w:t xml:space="preserve"> </w:t>
      </w:r>
      <w:proofErr w:type="spellStart"/>
      <w:r w:rsidRPr="00336E1C">
        <w:rPr>
          <w:b/>
          <w:bCs/>
          <w:color w:val="0070C0"/>
          <w:sz w:val="28"/>
          <w:szCs w:val="23"/>
        </w:rPr>
        <w:t>investors</w:t>
      </w:r>
      <w:proofErr w:type="spellEnd"/>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81"/>
      </w:tblGrid>
      <w:tr w:rsidR="00336E1C" w:rsidRPr="000B7EAE" w:rsidTr="001846DA">
        <w:trPr>
          <w:trHeight w:val="110"/>
        </w:trPr>
        <w:tc>
          <w:tcPr>
            <w:tcW w:w="9081" w:type="dxa"/>
          </w:tcPr>
          <w:p w:rsidR="00336E1C" w:rsidRPr="001846DA" w:rsidRDefault="00336E1C" w:rsidP="00336E1C">
            <w:pPr>
              <w:autoSpaceDE w:val="0"/>
              <w:autoSpaceDN w:val="0"/>
              <w:adjustRightInd w:val="0"/>
              <w:spacing w:after="0" w:line="240" w:lineRule="auto"/>
              <w:rPr>
                <w:rFonts w:ascii="Calibri" w:hAnsi="Calibri" w:cs="Calibri"/>
                <w:i/>
                <w:color w:val="000000"/>
                <w:lang w:val="en-GB"/>
              </w:rPr>
            </w:pPr>
            <w:r w:rsidRPr="001846DA">
              <w:rPr>
                <w:rFonts w:ascii="Calibri" w:hAnsi="Calibri" w:cs="Calibri"/>
                <w:b/>
                <w:bCs/>
                <w:i/>
                <w:color w:val="0070C0"/>
                <w:sz w:val="24"/>
                <w:lang w:val="en-GB"/>
              </w:rPr>
              <w:t>Best practice 8 – A: Scope of disclosure</w:t>
            </w:r>
            <w:r w:rsidRPr="001846DA">
              <w:rPr>
                <w:rFonts w:ascii="Calibri" w:hAnsi="Calibri" w:cs="Calibri"/>
                <w:b/>
                <w:bCs/>
                <w:i/>
                <w:color w:val="000000"/>
                <w:lang w:val="en-GB"/>
              </w:rPr>
              <w:t xml:space="preserve"> </w:t>
            </w:r>
          </w:p>
        </w:tc>
      </w:tr>
      <w:tr w:rsidR="00336E1C" w:rsidRPr="000B7EAE" w:rsidTr="001846DA">
        <w:trPr>
          <w:trHeight w:val="787"/>
        </w:trPr>
        <w:tc>
          <w:tcPr>
            <w:tcW w:w="9081" w:type="dxa"/>
          </w:tcPr>
          <w:p w:rsidR="00336E1C" w:rsidRPr="001846DA" w:rsidRDefault="00336E1C" w:rsidP="00336E1C">
            <w:pPr>
              <w:autoSpaceDE w:val="0"/>
              <w:autoSpaceDN w:val="0"/>
              <w:adjustRightInd w:val="0"/>
              <w:spacing w:after="0" w:line="240" w:lineRule="auto"/>
              <w:rPr>
                <w:rFonts w:ascii="Calibri" w:hAnsi="Calibri" w:cs="Calibri"/>
                <w:i/>
                <w:color w:val="000000"/>
                <w:sz w:val="16"/>
                <w:szCs w:val="16"/>
                <w:lang w:val="en-GB"/>
              </w:rPr>
            </w:pPr>
          </w:p>
          <w:p w:rsidR="00336E1C" w:rsidRPr="001846DA" w:rsidRDefault="00336E1C" w:rsidP="00336E1C">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 xml:space="preserve">The legal/regulatory covered bond framework should require covered bonds issuers to disclose aggregate data on the credit risk, market risk and liquidity risk characteristics of the cover assets and the covered bonds of a given programme as well as other relevant information, including information concerning the counterparties involved in the programme and the levels of contractual and voluntary over-collateralisation. The information should be disclosed to a level of detail which enables investors to carry out a comprehensive risk analysis. </w:t>
            </w:r>
          </w:p>
        </w:tc>
      </w:tr>
    </w:tbl>
    <w:p w:rsidR="00336E1C" w:rsidRDefault="00330327" w:rsidP="00336E1C">
      <w:pPr>
        <w:rPr>
          <w:rFonts w:cs="Times New Roman"/>
          <w:b/>
          <w:szCs w:val="26"/>
          <w:lang w:val="en-GB"/>
        </w:rPr>
      </w:pPr>
      <w:r>
        <w:rPr>
          <w:rFonts w:cs="Times New Roman"/>
          <w:b/>
          <w:szCs w:val="26"/>
          <w:lang w:val="en-GB"/>
        </w:rPr>
        <w:br/>
      </w:r>
      <w:r w:rsidR="00336E1C" w:rsidRPr="0023704B">
        <w:rPr>
          <w:rFonts w:cs="Times New Roman"/>
          <w:b/>
          <w:szCs w:val="26"/>
          <w:lang w:val="en-GB"/>
        </w:rPr>
        <w:t>Opinion DACB: fully compliant</w:t>
      </w:r>
    </w:p>
    <w:p w:rsidR="002C6354" w:rsidRDefault="00336E1C" w:rsidP="00336E1C">
      <w:pPr>
        <w:rPr>
          <w:rFonts w:cs="Times New Roman"/>
          <w:szCs w:val="26"/>
          <w:lang w:val="en-GB"/>
        </w:rPr>
      </w:pPr>
      <w:r w:rsidRPr="00FB02B5">
        <w:rPr>
          <w:rFonts w:cs="Times New Roman"/>
          <w:szCs w:val="26"/>
          <w:lang w:val="en-GB"/>
        </w:rPr>
        <w:t xml:space="preserve">As part of the ECBC Label Convention Dutch issuers have developed a National Transparency Template (NTT). This NTT is compliant with Article 129(7) of the CRR (it actually contains considerable more information than required by this article). </w:t>
      </w:r>
      <w:r w:rsidR="00FB02B5">
        <w:rPr>
          <w:rFonts w:cs="Times New Roman"/>
          <w:szCs w:val="26"/>
          <w:lang w:val="en-GB"/>
        </w:rPr>
        <w:br/>
      </w:r>
      <w:r w:rsidR="00FB02B5" w:rsidRPr="00FB02B5">
        <w:rPr>
          <w:rFonts w:cs="Times New Roman"/>
          <w:szCs w:val="26"/>
          <w:lang w:val="en-GB"/>
        </w:rPr>
        <w:t>The Dutch National Transparency Template is currently (January 1, 2015) being update</w:t>
      </w:r>
      <w:r w:rsidR="002C6354">
        <w:rPr>
          <w:rFonts w:cs="Times New Roman"/>
          <w:szCs w:val="26"/>
          <w:lang w:val="en-GB"/>
        </w:rPr>
        <w:t>d</w:t>
      </w:r>
      <w:r w:rsidR="00FB02B5" w:rsidRPr="00FB02B5">
        <w:rPr>
          <w:rFonts w:cs="Times New Roman"/>
          <w:szCs w:val="26"/>
          <w:lang w:val="en-GB"/>
        </w:rPr>
        <w:t xml:space="preserve"> to comply with both the latest ECBC recommendations (Covered Bond Label) and the new legislative environment in the Netherlands</w:t>
      </w:r>
      <w:r w:rsidR="00FB02B5">
        <w:rPr>
          <w:rFonts w:cs="Times New Roman"/>
          <w:szCs w:val="26"/>
          <w:lang w:val="en-GB"/>
        </w:rPr>
        <w:t>.</w:t>
      </w:r>
      <w:r w:rsidR="00770859">
        <w:rPr>
          <w:rFonts w:cs="Times New Roman"/>
          <w:szCs w:val="26"/>
          <w:lang w:val="en-GB"/>
        </w:rPr>
        <w:t xml:space="preserve"> </w:t>
      </w:r>
      <w:r w:rsidR="002C6354">
        <w:rPr>
          <w:rFonts w:cs="Times New Roman"/>
          <w:szCs w:val="26"/>
          <w:lang w:val="en-GB"/>
        </w:rPr>
        <w:t>The investor reports can be downloaded via the DACB website (</w:t>
      </w:r>
      <w:hyperlink r:id="rId11" w:history="1">
        <w:r w:rsidR="002C6354" w:rsidRPr="008D3299">
          <w:rPr>
            <w:rStyle w:val="Hyperlink"/>
            <w:rFonts w:cs="Times New Roman"/>
            <w:szCs w:val="26"/>
            <w:lang w:val="en-GB"/>
          </w:rPr>
          <w:t>www.dacb.nl</w:t>
        </w:r>
      </w:hyperlink>
      <w:r w:rsidR="002C6354">
        <w:rPr>
          <w:rFonts w:cs="Times New Roman"/>
          <w:szCs w:val="26"/>
          <w:lang w:val="en-GB"/>
        </w:rPr>
        <w:t xml:space="preserve">,   investor reports page). </w:t>
      </w:r>
    </w:p>
    <w:p w:rsidR="00336E1C" w:rsidRPr="00336E1C" w:rsidRDefault="00336E1C" w:rsidP="00336E1C">
      <w:pPr>
        <w:rPr>
          <w:rFonts w:cs="Times New Roman"/>
          <w:szCs w:val="26"/>
          <w:lang w:val="en-GB"/>
        </w:rPr>
      </w:pPr>
      <w:r w:rsidRPr="00336E1C">
        <w:rPr>
          <w:rFonts w:cs="Times New Roman"/>
          <w:szCs w:val="26"/>
          <w:lang w:val="en-GB"/>
        </w:rPr>
        <w:t xml:space="preserve">We refer to Article 3.33b(2) </w:t>
      </w:r>
      <w:r>
        <w:rPr>
          <w:rFonts w:cs="Times New Roman"/>
          <w:szCs w:val="26"/>
          <w:lang w:val="en-GB"/>
        </w:rPr>
        <w:t xml:space="preserve">of the law, Article 40j(b) of the </w:t>
      </w:r>
      <w:proofErr w:type="spellStart"/>
      <w:r>
        <w:rPr>
          <w:rFonts w:cs="Times New Roman"/>
          <w:szCs w:val="26"/>
          <w:lang w:val="en-GB"/>
        </w:rPr>
        <w:t>Bpr</w:t>
      </w:r>
      <w:proofErr w:type="spellEnd"/>
      <w:r>
        <w:rPr>
          <w:rFonts w:cs="Times New Roman"/>
          <w:szCs w:val="26"/>
          <w:lang w:val="en-GB"/>
        </w:rPr>
        <w:t xml:space="preserve"> and </w:t>
      </w:r>
      <w:r w:rsidR="00FB02B5">
        <w:rPr>
          <w:rFonts w:cs="Times New Roman"/>
          <w:szCs w:val="26"/>
          <w:lang w:val="en-GB"/>
        </w:rPr>
        <w:t xml:space="preserve">Article 20i of the Ur. </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81"/>
      </w:tblGrid>
      <w:tr w:rsidR="00336E1C" w:rsidRPr="000B7EAE" w:rsidTr="001846DA">
        <w:trPr>
          <w:trHeight w:val="110"/>
        </w:trPr>
        <w:tc>
          <w:tcPr>
            <w:tcW w:w="9081" w:type="dxa"/>
          </w:tcPr>
          <w:p w:rsidR="00336E1C" w:rsidRPr="001846DA" w:rsidRDefault="00336E1C" w:rsidP="00336E1C">
            <w:pPr>
              <w:autoSpaceDE w:val="0"/>
              <w:autoSpaceDN w:val="0"/>
              <w:adjustRightInd w:val="0"/>
              <w:spacing w:after="0" w:line="240" w:lineRule="auto"/>
              <w:rPr>
                <w:rFonts w:ascii="Calibri" w:hAnsi="Calibri" w:cs="Calibri"/>
                <w:b/>
                <w:bCs/>
                <w:i/>
                <w:color w:val="0070C0"/>
                <w:sz w:val="24"/>
                <w:lang w:val="en-GB"/>
              </w:rPr>
            </w:pPr>
            <w:r w:rsidRPr="001846DA">
              <w:rPr>
                <w:rFonts w:ascii="Calibri" w:hAnsi="Calibri" w:cs="Calibri"/>
                <w:b/>
                <w:bCs/>
                <w:i/>
                <w:color w:val="0070C0"/>
                <w:sz w:val="24"/>
                <w:lang w:val="en-GB"/>
              </w:rPr>
              <w:t xml:space="preserve">Best practice 8 - B: Frequency of disclosure </w:t>
            </w:r>
          </w:p>
          <w:p w:rsidR="00336E1C" w:rsidRPr="001846DA" w:rsidRDefault="00336E1C" w:rsidP="00336E1C">
            <w:pPr>
              <w:autoSpaceDE w:val="0"/>
              <w:autoSpaceDN w:val="0"/>
              <w:adjustRightInd w:val="0"/>
              <w:spacing w:after="0" w:line="240" w:lineRule="auto"/>
              <w:rPr>
                <w:rFonts w:ascii="Calibri" w:hAnsi="Calibri" w:cs="Calibri"/>
                <w:i/>
                <w:color w:val="000000"/>
                <w:sz w:val="16"/>
                <w:szCs w:val="16"/>
                <w:lang w:val="en-GB"/>
              </w:rPr>
            </w:pPr>
          </w:p>
        </w:tc>
      </w:tr>
      <w:tr w:rsidR="00336E1C" w:rsidRPr="000B7EAE" w:rsidTr="001846DA">
        <w:trPr>
          <w:trHeight w:val="249"/>
        </w:trPr>
        <w:tc>
          <w:tcPr>
            <w:tcW w:w="9081" w:type="dxa"/>
          </w:tcPr>
          <w:p w:rsidR="00336E1C" w:rsidRPr="001846DA" w:rsidRDefault="00336E1C" w:rsidP="00336E1C">
            <w:pPr>
              <w:autoSpaceDE w:val="0"/>
              <w:autoSpaceDN w:val="0"/>
              <w:adjustRightInd w:val="0"/>
              <w:spacing w:after="0" w:line="240" w:lineRule="auto"/>
              <w:rPr>
                <w:rFonts w:ascii="Calibri" w:hAnsi="Calibri" w:cs="Calibri"/>
                <w:i/>
                <w:color w:val="000000"/>
                <w:lang w:val="en-GB"/>
              </w:rPr>
            </w:pPr>
            <w:r w:rsidRPr="001846DA">
              <w:rPr>
                <w:rFonts w:ascii="Calibri" w:hAnsi="Calibri" w:cs="Calibri"/>
                <w:i/>
                <w:color w:val="002060"/>
                <w:lang w:val="en-GB"/>
              </w:rPr>
              <w:t xml:space="preserve">The legal/regulatory covered bond framework should provide that the disclosure of the information mentioned under recommendation 8 –A should occur at least on a quarterly basis. </w:t>
            </w:r>
          </w:p>
        </w:tc>
      </w:tr>
    </w:tbl>
    <w:p w:rsidR="00336E1C" w:rsidRDefault="00FB02B5" w:rsidP="00336E1C">
      <w:pPr>
        <w:rPr>
          <w:rFonts w:cs="Times New Roman"/>
          <w:b/>
          <w:szCs w:val="26"/>
          <w:lang w:val="en-GB"/>
        </w:rPr>
      </w:pPr>
      <w:r>
        <w:rPr>
          <w:rFonts w:cs="Times New Roman"/>
          <w:b/>
          <w:szCs w:val="26"/>
          <w:lang w:val="en-GB"/>
        </w:rPr>
        <w:br/>
      </w:r>
      <w:r w:rsidR="00336E1C" w:rsidRPr="0023704B">
        <w:rPr>
          <w:rFonts w:cs="Times New Roman"/>
          <w:b/>
          <w:szCs w:val="26"/>
          <w:lang w:val="en-GB"/>
        </w:rPr>
        <w:t>Opinion DACB: fully compliant</w:t>
      </w:r>
    </w:p>
    <w:p w:rsidR="00685CAB" w:rsidRDefault="00336E1C" w:rsidP="00685CAB">
      <w:pPr>
        <w:rPr>
          <w:rFonts w:cs="Times New Roman"/>
          <w:szCs w:val="26"/>
          <w:lang w:val="en-GB"/>
        </w:rPr>
      </w:pPr>
      <w:r w:rsidRPr="00336E1C">
        <w:rPr>
          <w:rFonts w:cs="Times New Roman"/>
          <w:szCs w:val="26"/>
          <w:lang w:val="en-GB"/>
        </w:rPr>
        <w:t xml:space="preserve">Dutch </w:t>
      </w:r>
      <w:r>
        <w:rPr>
          <w:rFonts w:cs="Times New Roman"/>
          <w:szCs w:val="26"/>
          <w:lang w:val="en-GB"/>
        </w:rPr>
        <w:t xml:space="preserve">issuers publish their investor reports on a monthly basis. </w:t>
      </w:r>
    </w:p>
    <w:p w:rsidR="00F949CC" w:rsidRDefault="00F949CC" w:rsidP="00685CAB">
      <w:pPr>
        <w:rPr>
          <w:rFonts w:cs="Times New Roman"/>
          <w:szCs w:val="26"/>
          <w:lang w:val="en-GB"/>
        </w:rPr>
      </w:pPr>
    </w:p>
    <w:p w:rsidR="007A31F6" w:rsidRDefault="007A31F6" w:rsidP="00685CAB">
      <w:pPr>
        <w:rPr>
          <w:rFonts w:cs="Times New Roman"/>
          <w:szCs w:val="26"/>
          <w:lang w:val="en-GB"/>
        </w:rPr>
      </w:pPr>
    </w:p>
    <w:p w:rsidR="00AC39BD" w:rsidRPr="00685CAB" w:rsidRDefault="00685CAB" w:rsidP="00685CAB">
      <w:pPr>
        <w:pStyle w:val="Lijstalinea"/>
        <w:numPr>
          <w:ilvl w:val="0"/>
          <w:numId w:val="7"/>
        </w:numPr>
        <w:rPr>
          <w:rFonts w:cs="Times New Roman"/>
          <w:b/>
          <w:sz w:val="28"/>
          <w:szCs w:val="26"/>
          <w:lang w:val="en-GB"/>
        </w:rPr>
      </w:pPr>
      <w:r w:rsidRPr="00685CAB">
        <w:rPr>
          <w:rFonts w:cs="Times New Roman"/>
          <w:b/>
          <w:sz w:val="28"/>
          <w:szCs w:val="26"/>
          <w:lang w:val="en-GB"/>
        </w:rPr>
        <w:t>Conclusion</w:t>
      </w:r>
    </w:p>
    <w:p w:rsidR="001F0B72" w:rsidRDefault="009E03A7" w:rsidP="00685CAB">
      <w:pPr>
        <w:rPr>
          <w:rFonts w:cs="Times New Roman"/>
          <w:szCs w:val="26"/>
          <w:lang w:val="en-GB"/>
        </w:rPr>
      </w:pPr>
      <w:r>
        <w:rPr>
          <w:rFonts w:cs="Times New Roman"/>
          <w:szCs w:val="26"/>
          <w:lang w:val="en-GB"/>
        </w:rPr>
        <w:lastRenderedPageBreak/>
        <w:t>T</w:t>
      </w:r>
      <w:r w:rsidR="00685CAB">
        <w:rPr>
          <w:rFonts w:cs="Times New Roman"/>
          <w:szCs w:val="26"/>
          <w:lang w:val="en-GB"/>
        </w:rPr>
        <w:t xml:space="preserve">he EBA report </w:t>
      </w:r>
      <w:r>
        <w:rPr>
          <w:rFonts w:cs="Times New Roman"/>
          <w:szCs w:val="26"/>
          <w:lang w:val="en-GB"/>
        </w:rPr>
        <w:t>o</w:t>
      </w:r>
      <w:r w:rsidRPr="006723DE">
        <w:rPr>
          <w:rFonts w:cs="Times New Roman"/>
          <w:szCs w:val="24"/>
          <w:lang w:val="en-GB"/>
        </w:rPr>
        <w:t>n EU Covered Bonds Frameworks and Capital Treatment</w:t>
      </w:r>
      <w:r>
        <w:rPr>
          <w:rFonts w:cs="Times New Roman"/>
          <w:szCs w:val="24"/>
          <w:lang w:val="en-GB"/>
        </w:rPr>
        <w:t xml:space="preserve"> </w:t>
      </w:r>
      <w:r w:rsidR="00685CAB">
        <w:rPr>
          <w:rFonts w:cs="Times New Roman"/>
          <w:szCs w:val="26"/>
          <w:lang w:val="en-GB"/>
        </w:rPr>
        <w:t xml:space="preserve">was </w:t>
      </w:r>
      <w:r>
        <w:rPr>
          <w:rFonts w:cs="Times New Roman"/>
          <w:szCs w:val="26"/>
          <w:lang w:val="en-GB"/>
        </w:rPr>
        <w:t xml:space="preserve">published at the same time </w:t>
      </w:r>
      <w:r w:rsidR="005C1644">
        <w:rPr>
          <w:rFonts w:cs="Times New Roman"/>
          <w:szCs w:val="26"/>
          <w:lang w:val="en-GB"/>
        </w:rPr>
        <w:t xml:space="preserve">when </w:t>
      </w:r>
      <w:r>
        <w:rPr>
          <w:rFonts w:cs="Times New Roman"/>
          <w:szCs w:val="26"/>
          <w:lang w:val="en-GB"/>
        </w:rPr>
        <w:t xml:space="preserve">the DACB was </w:t>
      </w:r>
      <w:r w:rsidR="005C1644">
        <w:rPr>
          <w:rFonts w:cs="Times New Roman"/>
          <w:szCs w:val="26"/>
          <w:lang w:val="en-GB"/>
        </w:rPr>
        <w:t xml:space="preserve">involved in discussions </w:t>
      </w:r>
      <w:r>
        <w:rPr>
          <w:rFonts w:cs="Times New Roman"/>
          <w:szCs w:val="26"/>
          <w:lang w:val="en-GB"/>
        </w:rPr>
        <w:t xml:space="preserve">with the Dutch central bank and the Ministry of Finance </w:t>
      </w:r>
      <w:r w:rsidR="005C1644">
        <w:rPr>
          <w:rFonts w:cs="Times New Roman"/>
          <w:szCs w:val="26"/>
          <w:lang w:val="en-GB"/>
        </w:rPr>
        <w:t xml:space="preserve">to update and improve </w:t>
      </w:r>
      <w:r>
        <w:rPr>
          <w:rFonts w:cs="Times New Roman"/>
          <w:szCs w:val="26"/>
          <w:lang w:val="en-GB"/>
        </w:rPr>
        <w:t>the Dutch covered bond law</w:t>
      </w:r>
      <w:r w:rsidR="00685CAB">
        <w:rPr>
          <w:rFonts w:cs="Times New Roman"/>
          <w:szCs w:val="26"/>
          <w:lang w:val="en-GB"/>
        </w:rPr>
        <w:t xml:space="preserve">. </w:t>
      </w:r>
      <w:r>
        <w:rPr>
          <w:rFonts w:cs="Times New Roman"/>
          <w:szCs w:val="26"/>
          <w:lang w:val="en-GB"/>
        </w:rPr>
        <w:t>This</w:t>
      </w:r>
      <w:r w:rsidR="00685CAB">
        <w:rPr>
          <w:rFonts w:cs="Times New Roman"/>
          <w:szCs w:val="26"/>
          <w:lang w:val="en-GB"/>
        </w:rPr>
        <w:t xml:space="preserve"> allowed the participants in the project to update the Dutch legislative and regulatory environment </w:t>
      </w:r>
      <w:r>
        <w:rPr>
          <w:rFonts w:cs="Times New Roman"/>
          <w:szCs w:val="26"/>
          <w:lang w:val="en-GB"/>
        </w:rPr>
        <w:t>while</w:t>
      </w:r>
      <w:r w:rsidR="00685CAB">
        <w:rPr>
          <w:rFonts w:cs="Times New Roman"/>
          <w:szCs w:val="26"/>
          <w:lang w:val="en-GB"/>
        </w:rPr>
        <w:t xml:space="preserve"> tak</w:t>
      </w:r>
      <w:r>
        <w:rPr>
          <w:rFonts w:cs="Times New Roman"/>
          <w:szCs w:val="26"/>
          <w:lang w:val="en-GB"/>
        </w:rPr>
        <w:t>ing</w:t>
      </w:r>
      <w:r w:rsidR="00685CAB">
        <w:rPr>
          <w:rFonts w:cs="Times New Roman"/>
          <w:szCs w:val="26"/>
          <w:lang w:val="en-GB"/>
        </w:rPr>
        <w:t xml:space="preserve"> the EBA recommendations (best practices) into account.</w:t>
      </w:r>
      <w:r w:rsidR="001F0B72" w:rsidRPr="001F0B72">
        <w:rPr>
          <w:rFonts w:cs="Times New Roman"/>
          <w:szCs w:val="26"/>
          <w:lang w:val="en-GB"/>
        </w:rPr>
        <w:t xml:space="preserve"> </w:t>
      </w:r>
    </w:p>
    <w:p w:rsidR="00685CAB" w:rsidRDefault="001F0B72" w:rsidP="00685CAB">
      <w:pPr>
        <w:rPr>
          <w:rFonts w:cs="Times New Roman"/>
          <w:szCs w:val="26"/>
          <w:lang w:val="en-GB"/>
        </w:rPr>
      </w:pPr>
      <w:r>
        <w:rPr>
          <w:rFonts w:cs="Times New Roman"/>
          <w:szCs w:val="26"/>
          <w:lang w:val="en-GB"/>
        </w:rPr>
        <w:t>Dutch covered bo</w:t>
      </w:r>
      <w:r w:rsidR="005C1644">
        <w:rPr>
          <w:rFonts w:cs="Times New Roman"/>
          <w:szCs w:val="26"/>
          <w:lang w:val="en-GB"/>
        </w:rPr>
        <w:t xml:space="preserve">nds have a strong legal </w:t>
      </w:r>
      <w:r>
        <w:rPr>
          <w:rFonts w:cs="Times New Roman"/>
          <w:szCs w:val="26"/>
          <w:lang w:val="en-GB"/>
        </w:rPr>
        <w:t>and supervisory framework. The framework covers all areas identified by the EBA: the dual recourse mechanism, asset segregation and bankruptcy remoteness, cover pool features, valuation and LTV limits, risk management and stress</w:t>
      </w:r>
      <w:r w:rsidR="002C6354">
        <w:rPr>
          <w:rFonts w:cs="Times New Roman"/>
          <w:szCs w:val="26"/>
          <w:lang w:val="en-GB"/>
        </w:rPr>
        <w:t xml:space="preserve"> </w:t>
      </w:r>
      <w:r>
        <w:rPr>
          <w:rFonts w:cs="Times New Roman"/>
          <w:szCs w:val="26"/>
          <w:lang w:val="en-GB"/>
        </w:rPr>
        <w:t>testing, monitoring and the role of the regulator. At the same time Dutch issuers provide full transparency towards covered bond investors by releasing detailed investor reports on a monthly basis.</w:t>
      </w:r>
    </w:p>
    <w:p w:rsidR="00685CAB" w:rsidRPr="00685CAB" w:rsidRDefault="00685CAB" w:rsidP="00685CAB">
      <w:pPr>
        <w:rPr>
          <w:rFonts w:cs="Times New Roman"/>
          <w:szCs w:val="26"/>
          <w:lang w:val="en-GB"/>
        </w:rPr>
      </w:pPr>
      <w:r>
        <w:rPr>
          <w:rFonts w:cs="Times New Roman"/>
          <w:szCs w:val="26"/>
          <w:lang w:val="en-GB"/>
        </w:rPr>
        <w:t xml:space="preserve">The </w:t>
      </w:r>
      <w:r w:rsidR="00494576">
        <w:rPr>
          <w:rFonts w:cs="Times New Roman"/>
          <w:szCs w:val="26"/>
          <w:lang w:val="en-GB"/>
        </w:rPr>
        <w:t>DACB is</w:t>
      </w:r>
      <w:r w:rsidR="005C1644">
        <w:rPr>
          <w:rFonts w:cs="Times New Roman"/>
          <w:szCs w:val="26"/>
          <w:lang w:val="en-GB"/>
        </w:rPr>
        <w:t xml:space="preserve"> of the opinion </w:t>
      </w:r>
      <w:r>
        <w:rPr>
          <w:rFonts w:cs="Times New Roman"/>
          <w:szCs w:val="26"/>
          <w:lang w:val="en-GB"/>
        </w:rPr>
        <w:t xml:space="preserve">that – once </w:t>
      </w:r>
      <w:r w:rsidR="00494576">
        <w:rPr>
          <w:rFonts w:cs="Times New Roman"/>
          <w:szCs w:val="26"/>
          <w:lang w:val="en-GB"/>
        </w:rPr>
        <w:t xml:space="preserve">Dutch issuers </w:t>
      </w:r>
      <w:r>
        <w:rPr>
          <w:rFonts w:cs="Times New Roman"/>
          <w:szCs w:val="26"/>
          <w:lang w:val="en-GB"/>
        </w:rPr>
        <w:t>have implemented all the changes –</w:t>
      </w:r>
      <w:r w:rsidR="00494576">
        <w:rPr>
          <w:rFonts w:cs="Times New Roman"/>
          <w:szCs w:val="26"/>
          <w:lang w:val="en-GB"/>
        </w:rPr>
        <w:t xml:space="preserve">they </w:t>
      </w:r>
      <w:r>
        <w:rPr>
          <w:rFonts w:cs="Times New Roman"/>
          <w:szCs w:val="26"/>
          <w:lang w:val="en-GB"/>
        </w:rPr>
        <w:t>are</w:t>
      </w:r>
      <w:r w:rsidR="005C1644">
        <w:rPr>
          <w:rFonts w:cs="Times New Roman"/>
          <w:szCs w:val="26"/>
          <w:lang w:val="en-GB"/>
        </w:rPr>
        <w:t xml:space="preserve"> complying with the </w:t>
      </w:r>
      <w:r w:rsidR="00494576">
        <w:rPr>
          <w:rFonts w:cs="Times New Roman"/>
          <w:szCs w:val="26"/>
          <w:lang w:val="en-GB"/>
        </w:rPr>
        <w:t>best practices as identified by</w:t>
      </w:r>
      <w:r w:rsidR="005C1644">
        <w:rPr>
          <w:rFonts w:cs="Times New Roman"/>
          <w:szCs w:val="26"/>
          <w:lang w:val="en-GB"/>
        </w:rPr>
        <w:t xml:space="preserve"> EBA</w:t>
      </w:r>
      <w:r w:rsidR="00494576">
        <w:rPr>
          <w:rFonts w:cs="Times New Roman"/>
          <w:szCs w:val="26"/>
          <w:lang w:val="en-GB"/>
        </w:rPr>
        <w:t xml:space="preserve">. </w:t>
      </w:r>
      <w:r>
        <w:rPr>
          <w:rFonts w:cs="Times New Roman"/>
          <w:szCs w:val="26"/>
          <w:lang w:val="en-GB"/>
        </w:rPr>
        <w:t>It goes without saying investors cannot rely on the view of the DACB. Investor</w:t>
      </w:r>
      <w:r w:rsidR="00494576">
        <w:rPr>
          <w:rFonts w:cs="Times New Roman"/>
          <w:szCs w:val="26"/>
          <w:lang w:val="en-GB"/>
        </w:rPr>
        <w:t>s</w:t>
      </w:r>
      <w:r>
        <w:rPr>
          <w:rFonts w:cs="Times New Roman"/>
          <w:szCs w:val="26"/>
          <w:lang w:val="en-GB"/>
        </w:rPr>
        <w:t xml:space="preserve"> should prepare their own analysis – or seek advice from independent third parties – to see whether or not they agree with the DACB statement</w:t>
      </w:r>
      <w:r w:rsidR="005C1644">
        <w:rPr>
          <w:rFonts w:cs="Times New Roman"/>
          <w:szCs w:val="26"/>
          <w:lang w:val="en-GB"/>
        </w:rPr>
        <w:t xml:space="preserve"> that Dutch issuers are complying </w:t>
      </w:r>
      <w:r>
        <w:rPr>
          <w:rFonts w:cs="Times New Roman"/>
          <w:szCs w:val="26"/>
          <w:lang w:val="en-GB"/>
        </w:rPr>
        <w:t>with all EBA recommendations.</w:t>
      </w:r>
    </w:p>
    <w:sectPr w:rsidR="00685CAB" w:rsidRPr="00685CAB" w:rsidSect="00180BFD">
      <w:headerReference w:type="even" r:id="rId12"/>
      <w:headerReference w:type="default" r:id="rId13"/>
      <w:footerReference w:type="even" r:id="rId14"/>
      <w:footerReference w:type="default" r:id="rId15"/>
      <w:headerReference w:type="first" r:id="rId16"/>
      <w:footerReference w:type="first" r:id="rId17"/>
      <w:pgSz w:w="11906" w:h="16838"/>
      <w:pgMar w:top="1701" w:right="1416" w:bottom="1440" w:left="1276"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78" w:rsidRDefault="004D6578" w:rsidP="00DD5C6C">
      <w:pPr>
        <w:spacing w:after="0" w:line="240" w:lineRule="auto"/>
      </w:pPr>
      <w:r>
        <w:separator/>
      </w:r>
    </w:p>
  </w:endnote>
  <w:endnote w:type="continuationSeparator" w:id="0">
    <w:p w:rsidR="004D6578" w:rsidRDefault="004D6578" w:rsidP="00DD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9" w:rsidRDefault="006337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77128"/>
      <w:docPartObj>
        <w:docPartGallery w:val="Page Numbers (Bottom of Page)"/>
        <w:docPartUnique/>
      </w:docPartObj>
    </w:sdtPr>
    <w:sdtEndPr>
      <w:rPr>
        <w:color w:val="808080" w:themeColor="background1" w:themeShade="80"/>
      </w:rPr>
    </w:sdtEndPr>
    <w:sdtContent>
      <w:p w:rsidR="006337C9" w:rsidRPr="00D51CE1" w:rsidRDefault="006337C9" w:rsidP="00D51CE1">
        <w:pPr>
          <w:rPr>
            <w:bCs/>
            <w:color w:val="808080" w:themeColor="background1" w:themeShade="80"/>
          </w:rPr>
        </w:pPr>
        <w:r w:rsidRPr="00D51CE1">
          <w:rPr>
            <w:b/>
            <w:bCs/>
            <w:color w:val="808080" w:themeColor="background1" w:themeShade="80"/>
          </w:rPr>
          <w:t xml:space="preserve"> |</w:t>
        </w:r>
        <w:r>
          <w:rPr>
            <w:b/>
            <w:bCs/>
            <w:color w:val="808080" w:themeColor="background1" w:themeShade="80"/>
          </w:rPr>
          <w:t xml:space="preserve">  </w:t>
        </w:r>
        <w:r w:rsidRPr="00D51CE1">
          <w:rPr>
            <w:color w:val="808080" w:themeColor="background1" w:themeShade="80"/>
          </w:rPr>
          <w:t xml:space="preserve">info@dacb.nl  </w:t>
        </w:r>
        <w:r w:rsidRPr="00D51CE1">
          <w:rPr>
            <w:b/>
            <w:bCs/>
            <w:color w:val="808080" w:themeColor="background1" w:themeShade="80"/>
          </w:rPr>
          <w:t xml:space="preserve"> </w:t>
        </w:r>
        <w:r w:rsidRPr="00D51CE1">
          <w:rPr>
            <w:color w:val="808080" w:themeColor="background1" w:themeShade="80"/>
          </w:rPr>
          <w:t xml:space="preserve">·  </w:t>
        </w:r>
        <w:r w:rsidRPr="00D51CE1">
          <w:rPr>
            <w:bCs/>
            <w:color w:val="808080" w:themeColor="background1" w:themeShade="80"/>
          </w:rPr>
          <w:t>Gustav Mahlerplein 29-35</w:t>
        </w:r>
        <w:r>
          <w:rPr>
            <w:bCs/>
            <w:color w:val="808080" w:themeColor="background1" w:themeShade="80"/>
          </w:rPr>
          <w:t xml:space="preserve">, </w:t>
        </w:r>
        <w:r w:rsidRPr="00D51CE1">
          <w:rPr>
            <w:bCs/>
            <w:color w:val="808080" w:themeColor="background1" w:themeShade="80"/>
          </w:rPr>
          <w:t>1082 MS</w:t>
        </w:r>
        <w:r>
          <w:rPr>
            <w:bCs/>
            <w:color w:val="808080" w:themeColor="background1" w:themeShade="80"/>
          </w:rPr>
          <w:t xml:space="preserve"> </w:t>
        </w:r>
        <w:r w:rsidRPr="00D51CE1">
          <w:rPr>
            <w:color w:val="808080" w:themeColor="background1" w:themeShade="80"/>
          </w:rPr>
          <w:t>Postbus 7400</w:t>
        </w:r>
        <w:r>
          <w:rPr>
            <w:color w:val="808080" w:themeColor="background1" w:themeShade="80"/>
          </w:rPr>
          <w:t xml:space="preserve"> </w:t>
        </w:r>
        <w:r w:rsidRPr="00D51CE1">
          <w:rPr>
            <w:color w:val="808080" w:themeColor="background1" w:themeShade="80"/>
          </w:rPr>
          <w:t xml:space="preserve">Amsterdam </w:t>
        </w:r>
      </w:p>
    </w:sdtContent>
  </w:sdt>
  <w:p w:rsidR="006337C9" w:rsidRPr="00D51CE1" w:rsidRDefault="006337C9" w:rsidP="00D51CE1">
    <w:pPr>
      <w:rPr>
        <w:color w:val="808080" w:themeColor="background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77912"/>
      <w:docPartObj>
        <w:docPartGallery w:val="Page Numbers (Bottom of Page)"/>
        <w:docPartUnique/>
      </w:docPartObj>
    </w:sdtPr>
    <w:sdtEndPr>
      <w:rPr>
        <w:color w:val="808080" w:themeColor="background1" w:themeShade="80"/>
      </w:rPr>
    </w:sdtEndPr>
    <w:sdtContent>
      <w:p w:rsidR="006337C9" w:rsidRPr="00D51CE1" w:rsidRDefault="006337C9" w:rsidP="00A02EC5">
        <w:pPr>
          <w:rPr>
            <w:bCs/>
            <w:color w:val="808080" w:themeColor="background1" w:themeShade="80"/>
          </w:rPr>
        </w:pPr>
        <w:r>
          <w:t xml:space="preserve"> </w:t>
        </w:r>
        <w:r w:rsidRPr="00D51CE1">
          <w:rPr>
            <w:b/>
            <w:bCs/>
            <w:color w:val="808080" w:themeColor="background1" w:themeShade="80"/>
          </w:rPr>
          <w:t>|</w:t>
        </w:r>
        <w:r>
          <w:rPr>
            <w:b/>
            <w:bCs/>
            <w:color w:val="808080" w:themeColor="background1" w:themeShade="80"/>
          </w:rPr>
          <w:t xml:space="preserve">  </w:t>
        </w:r>
        <w:r w:rsidRPr="00D51CE1">
          <w:rPr>
            <w:color w:val="808080" w:themeColor="background1" w:themeShade="80"/>
          </w:rPr>
          <w:t xml:space="preserve">info@dacb.nl  </w:t>
        </w:r>
        <w:r w:rsidRPr="00D51CE1">
          <w:rPr>
            <w:b/>
            <w:bCs/>
            <w:color w:val="808080" w:themeColor="background1" w:themeShade="80"/>
          </w:rPr>
          <w:t xml:space="preserve"> </w:t>
        </w:r>
        <w:r w:rsidRPr="00D51CE1">
          <w:rPr>
            <w:color w:val="808080" w:themeColor="background1" w:themeShade="80"/>
          </w:rPr>
          <w:t xml:space="preserve">·  </w:t>
        </w:r>
        <w:r w:rsidRPr="00D51CE1">
          <w:rPr>
            <w:bCs/>
            <w:color w:val="808080" w:themeColor="background1" w:themeShade="80"/>
          </w:rPr>
          <w:t>Gustav Mahlerplein 29-35</w:t>
        </w:r>
        <w:r>
          <w:rPr>
            <w:bCs/>
            <w:color w:val="808080" w:themeColor="background1" w:themeShade="80"/>
          </w:rPr>
          <w:t xml:space="preserve">, </w:t>
        </w:r>
        <w:r w:rsidRPr="00D51CE1">
          <w:rPr>
            <w:bCs/>
            <w:color w:val="808080" w:themeColor="background1" w:themeShade="80"/>
          </w:rPr>
          <w:t>1082 MS</w:t>
        </w:r>
        <w:r>
          <w:rPr>
            <w:bCs/>
            <w:color w:val="808080" w:themeColor="background1" w:themeShade="80"/>
          </w:rPr>
          <w:t xml:space="preserve"> </w:t>
        </w:r>
        <w:r w:rsidRPr="00D51CE1">
          <w:rPr>
            <w:color w:val="808080" w:themeColor="background1" w:themeShade="80"/>
          </w:rPr>
          <w:t>Postbus 7400</w:t>
        </w:r>
        <w:r>
          <w:rPr>
            <w:color w:val="808080" w:themeColor="background1" w:themeShade="80"/>
          </w:rPr>
          <w:t xml:space="preserve"> </w:t>
        </w:r>
        <w:r w:rsidRPr="00D51CE1">
          <w:rPr>
            <w:color w:val="808080" w:themeColor="background1" w:themeShade="80"/>
          </w:rPr>
          <w:t xml:space="preserve">Amsterdam </w:t>
        </w:r>
      </w:p>
    </w:sdtContent>
  </w:sdt>
  <w:p w:rsidR="006337C9" w:rsidRDefault="006337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78" w:rsidRDefault="004D6578" w:rsidP="00DD5C6C">
      <w:pPr>
        <w:spacing w:after="0" w:line="240" w:lineRule="auto"/>
      </w:pPr>
      <w:r>
        <w:separator/>
      </w:r>
    </w:p>
  </w:footnote>
  <w:footnote w:type="continuationSeparator" w:id="0">
    <w:p w:rsidR="004D6578" w:rsidRDefault="004D6578" w:rsidP="00DD5C6C">
      <w:pPr>
        <w:spacing w:after="0" w:line="240" w:lineRule="auto"/>
      </w:pPr>
      <w:r>
        <w:continuationSeparator/>
      </w:r>
    </w:p>
  </w:footnote>
  <w:footnote w:id="1">
    <w:p w:rsidR="0039689F" w:rsidRPr="00EA1BD4" w:rsidRDefault="0039689F" w:rsidP="0039689F">
      <w:pPr>
        <w:pStyle w:val="Default"/>
        <w:rPr>
          <w:sz w:val="22"/>
          <w:szCs w:val="36"/>
        </w:rPr>
      </w:pPr>
      <w:r>
        <w:rPr>
          <w:rStyle w:val="Voetnootmarkering"/>
        </w:rPr>
        <w:footnoteRef/>
      </w:r>
      <w:r>
        <w:t xml:space="preserve"> </w:t>
      </w:r>
      <w:r w:rsidRPr="00C129F6">
        <w:rPr>
          <w:sz w:val="18"/>
        </w:rPr>
        <w:t xml:space="preserve"> </w:t>
      </w:r>
      <w:r w:rsidRPr="00E75DE9">
        <w:rPr>
          <w:b/>
          <w:bCs/>
          <w:sz w:val="18"/>
          <w:szCs w:val="36"/>
        </w:rPr>
        <w:t xml:space="preserve">EBA REPORT ON EU COVERED BOND FRAMEWORKS AND CAPITAL TREATMENT </w:t>
      </w:r>
    </w:p>
    <w:p w:rsidR="0039689F" w:rsidRPr="00623FD2" w:rsidRDefault="0039689F" w:rsidP="00EC06CD">
      <w:pPr>
        <w:pStyle w:val="Voetnoottekst"/>
        <w:rPr>
          <w:sz w:val="18"/>
          <w:lang w:val="en-GB"/>
        </w:rPr>
      </w:pPr>
      <w:r w:rsidRPr="00623FD2">
        <w:rPr>
          <w:szCs w:val="22"/>
          <w:lang w:val="en-GB"/>
        </w:rPr>
        <w:t>Response to the Commission’s call for advice of December 2013 related to Article 503 of the Regulation (EU) No 575/2013 and to the ESRB Recommendation E on the funding of credit institutions of December 2012 (ESRB/12/2)</w:t>
      </w:r>
      <w:r w:rsidR="007619B6">
        <w:rPr>
          <w:szCs w:val="22"/>
          <w:lang w:val="en-GB"/>
        </w:rPr>
        <w:t xml:space="preserve">. </w:t>
      </w:r>
    </w:p>
  </w:footnote>
  <w:footnote w:id="2">
    <w:p w:rsidR="009862B9" w:rsidRPr="009862B9" w:rsidRDefault="009862B9" w:rsidP="009862B9">
      <w:pPr>
        <w:pStyle w:val="Voetnoottekst"/>
        <w:rPr>
          <w:lang w:val="en-GB"/>
        </w:rPr>
      </w:pPr>
      <w:r>
        <w:rPr>
          <w:rStyle w:val="Voetnootmarkering"/>
        </w:rPr>
        <w:footnoteRef/>
      </w:r>
      <w:r w:rsidRPr="009862B9">
        <w:rPr>
          <w:lang w:val="en-GB"/>
        </w:rPr>
        <w:t xml:space="preserve"> </w:t>
      </w:r>
      <w:r>
        <w:rPr>
          <w:lang w:val="en-GB"/>
        </w:rPr>
        <w:t>Article 129(3) of the CRR refers to Articles 208 and 229(1) of the CRR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9" w:rsidRDefault="006337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9" w:rsidRDefault="006337C9" w:rsidP="00A02EC5">
    <w:pPr>
      <w:pStyle w:val="Koptekst"/>
    </w:pPr>
    <w:r>
      <w:rPr>
        <w:noProof/>
        <w:lang w:val="en-GB" w:eastAsia="en-GB"/>
      </w:rPr>
      <w:drawing>
        <wp:anchor distT="0" distB="0" distL="114300" distR="114300" simplePos="0" relativeHeight="251660288" behindDoc="0" locked="0" layoutInCell="1" allowOverlap="1" wp14:anchorId="18D77ABE" wp14:editId="1D8C76EF">
          <wp:simplePos x="0" y="0"/>
          <wp:positionH relativeFrom="leftMargin">
            <wp:posOffset>0</wp:posOffset>
          </wp:positionH>
          <wp:positionV relativeFrom="paragraph">
            <wp:posOffset>-93345</wp:posOffset>
          </wp:positionV>
          <wp:extent cx="7919720" cy="640715"/>
          <wp:effectExtent l="0" t="0" r="5080" b="6985"/>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b_word_template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9720" cy="6407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9" w:rsidRDefault="006337C9">
    <w:pPr>
      <w:pStyle w:val="Koptekst"/>
    </w:pPr>
    <w:r>
      <w:rPr>
        <w:noProof/>
        <w:lang w:val="en-GB" w:eastAsia="en-GB"/>
      </w:rPr>
      <w:drawing>
        <wp:anchor distT="0" distB="0" distL="114300" distR="114300" simplePos="0" relativeHeight="251658240" behindDoc="0" locked="0" layoutInCell="1" allowOverlap="1" wp14:anchorId="30BB733C" wp14:editId="2240986B">
          <wp:simplePos x="0" y="0"/>
          <wp:positionH relativeFrom="leftMargin">
            <wp:posOffset>27940</wp:posOffset>
          </wp:positionH>
          <wp:positionV relativeFrom="paragraph">
            <wp:posOffset>-99060</wp:posOffset>
          </wp:positionV>
          <wp:extent cx="7919720" cy="640715"/>
          <wp:effectExtent l="0" t="0" r="508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b_word_template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9720" cy="640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D72"/>
    <w:multiLevelType w:val="hybridMultilevel"/>
    <w:tmpl w:val="9B908C4A"/>
    <w:lvl w:ilvl="0" w:tplc="0809000F">
      <w:start w:val="1"/>
      <w:numFmt w:val="decimal"/>
      <w:lvlText w:val="%1."/>
      <w:lvlJc w:val="left"/>
      <w:pPr>
        <w:ind w:left="720" w:hanging="360"/>
      </w:pPr>
    </w:lvl>
    <w:lvl w:ilvl="1" w:tplc="6F12754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943E9"/>
    <w:multiLevelType w:val="hybridMultilevel"/>
    <w:tmpl w:val="B0065D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C2190"/>
    <w:multiLevelType w:val="hybridMultilevel"/>
    <w:tmpl w:val="87D2FA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D34B47"/>
    <w:multiLevelType w:val="hybridMultilevel"/>
    <w:tmpl w:val="5C80202A"/>
    <w:lvl w:ilvl="0" w:tplc="B910272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F8762B"/>
    <w:multiLevelType w:val="hybridMultilevel"/>
    <w:tmpl w:val="1D8625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BA4944"/>
    <w:multiLevelType w:val="hybridMultilevel"/>
    <w:tmpl w:val="07E8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06F3C"/>
    <w:multiLevelType w:val="hybridMultilevel"/>
    <w:tmpl w:val="582E75FE"/>
    <w:lvl w:ilvl="0" w:tplc="0809001B">
      <w:start w:val="1"/>
      <w:numFmt w:val="lowerRoman"/>
      <w:lvlText w:val="%1."/>
      <w:lvlJc w:val="righ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26153443"/>
    <w:multiLevelType w:val="hybridMultilevel"/>
    <w:tmpl w:val="C3FE8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72E36"/>
    <w:multiLevelType w:val="hybridMultilevel"/>
    <w:tmpl w:val="AD2CF9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DE53F1"/>
    <w:multiLevelType w:val="hybridMultilevel"/>
    <w:tmpl w:val="0F489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7561FE"/>
    <w:multiLevelType w:val="hybridMultilevel"/>
    <w:tmpl w:val="5504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01A56"/>
    <w:multiLevelType w:val="hybridMultilevel"/>
    <w:tmpl w:val="FFF6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CA1D1C"/>
    <w:multiLevelType w:val="hybridMultilevel"/>
    <w:tmpl w:val="CABE9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FAA57AC"/>
    <w:multiLevelType w:val="hybridMultilevel"/>
    <w:tmpl w:val="5726CB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7B2E04"/>
    <w:multiLevelType w:val="hybridMultilevel"/>
    <w:tmpl w:val="F594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F1936"/>
    <w:multiLevelType w:val="hybridMultilevel"/>
    <w:tmpl w:val="8F80BB74"/>
    <w:lvl w:ilvl="0" w:tplc="C5B409C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B6D4AEB"/>
    <w:multiLevelType w:val="hybridMultilevel"/>
    <w:tmpl w:val="D4D22FB2"/>
    <w:lvl w:ilvl="0" w:tplc="C0228CB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B77EA"/>
    <w:multiLevelType w:val="hybridMultilevel"/>
    <w:tmpl w:val="5C20B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17"/>
  </w:num>
  <w:num w:numId="5">
    <w:abstractNumId w:val="16"/>
  </w:num>
  <w:num w:numId="6">
    <w:abstractNumId w:val="7"/>
  </w:num>
  <w:num w:numId="7">
    <w:abstractNumId w:val="1"/>
  </w:num>
  <w:num w:numId="8">
    <w:abstractNumId w:val="8"/>
  </w:num>
  <w:num w:numId="9">
    <w:abstractNumId w:val="0"/>
  </w:num>
  <w:num w:numId="10">
    <w:abstractNumId w:val="14"/>
  </w:num>
  <w:num w:numId="11">
    <w:abstractNumId w:val="10"/>
  </w:num>
  <w:num w:numId="12">
    <w:abstractNumId w:val="5"/>
  </w:num>
  <w:num w:numId="13">
    <w:abstractNumId w:val="11"/>
  </w:num>
  <w:num w:numId="14">
    <w:abstractNumId w:val="6"/>
  </w:num>
  <w:num w:numId="15">
    <w:abstractNumId w:val="4"/>
  </w:num>
  <w:num w:numId="16">
    <w:abstractNumId w:val="13"/>
  </w:num>
  <w:num w:numId="17">
    <w:abstractNumId w:val="2"/>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FB"/>
    <w:rsid w:val="000109CF"/>
    <w:rsid w:val="000134D6"/>
    <w:rsid w:val="0001472B"/>
    <w:rsid w:val="00015F02"/>
    <w:rsid w:val="0001684B"/>
    <w:rsid w:val="0002068A"/>
    <w:rsid w:val="00023E79"/>
    <w:rsid w:val="00024E2A"/>
    <w:rsid w:val="00026985"/>
    <w:rsid w:val="00026ED5"/>
    <w:rsid w:val="000324AF"/>
    <w:rsid w:val="00040D6C"/>
    <w:rsid w:val="000439ED"/>
    <w:rsid w:val="00044399"/>
    <w:rsid w:val="00044CBA"/>
    <w:rsid w:val="0005013D"/>
    <w:rsid w:val="000546C9"/>
    <w:rsid w:val="000561ED"/>
    <w:rsid w:val="00056B87"/>
    <w:rsid w:val="000628E2"/>
    <w:rsid w:val="00062CD6"/>
    <w:rsid w:val="000809C4"/>
    <w:rsid w:val="00081471"/>
    <w:rsid w:val="00081C59"/>
    <w:rsid w:val="000845DE"/>
    <w:rsid w:val="00087337"/>
    <w:rsid w:val="00087E7F"/>
    <w:rsid w:val="00093098"/>
    <w:rsid w:val="000930CD"/>
    <w:rsid w:val="000958BE"/>
    <w:rsid w:val="000977F5"/>
    <w:rsid w:val="000A645E"/>
    <w:rsid w:val="000B642F"/>
    <w:rsid w:val="000B7EAE"/>
    <w:rsid w:val="000C4416"/>
    <w:rsid w:val="000C4C14"/>
    <w:rsid w:val="000C747B"/>
    <w:rsid w:val="000C7A4E"/>
    <w:rsid w:val="000C7D25"/>
    <w:rsid w:val="000D3731"/>
    <w:rsid w:val="000D484B"/>
    <w:rsid w:val="000D4FF2"/>
    <w:rsid w:val="000D5C87"/>
    <w:rsid w:val="000D6062"/>
    <w:rsid w:val="000E3EE9"/>
    <w:rsid w:val="000E4291"/>
    <w:rsid w:val="000E6683"/>
    <w:rsid w:val="000E7A75"/>
    <w:rsid w:val="000F2070"/>
    <w:rsid w:val="000F44AD"/>
    <w:rsid w:val="001069A7"/>
    <w:rsid w:val="001105AC"/>
    <w:rsid w:val="00110834"/>
    <w:rsid w:val="001114B9"/>
    <w:rsid w:val="001117D6"/>
    <w:rsid w:val="00111FCF"/>
    <w:rsid w:val="001120EA"/>
    <w:rsid w:val="001144A9"/>
    <w:rsid w:val="00116095"/>
    <w:rsid w:val="00116CBC"/>
    <w:rsid w:val="00116EFB"/>
    <w:rsid w:val="00120E82"/>
    <w:rsid w:val="00123842"/>
    <w:rsid w:val="00123AA0"/>
    <w:rsid w:val="00125F8A"/>
    <w:rsid w:val="0014001F"/>
    <w:rsid w:val="001401DE"/>
    <w:rsid w:val="001430E6"/>
    <w:rsid w:val="00144029"/>
    <w:rsid w:val="00146C50"/>
    <w:rsid w:val="0015277B"/>
    <w:rsid w:val="001529F1"/>
    <w:rsid w:val="0015396A"/>
    <w:rsid w:val="001573DB"/>
    <w:rsid w:val="00160E7C"/>
    <w:rsid w:val="00162C1F"/>
    <w:rsid w:val="001630A9"/>
    <w:rsid w:val="00165494"/>
    <w:rsid w:val="00166CA1"/>
    <w:rsid w:val="00180BFD"/>
    <w:rsid w:val="0018251F"/>
    <w:rsid w:val="0018318D"/>
    <w:rsid w:val="001846DA"/>
    <w:rsid w:val="00185CCA"/>
    <w:rsid w:val="00191290"/>
    <w:rsid w:val="00192CBB"/>
    <w:rsid w:val="00193092"/>
    <w:rsid w:val="001936D7"/>
    <w:rsid w:val="0019382C"/>
    <w:rsid w:val="00194A53"/>
    <w:rsid w:val="00195621"/>
    <w:rsid w:val="00196309"/>
    <w:rsid w:val="00196446"/>
    <w:rsid w:val="001A26D6"/>
    <w:rsid w:val="001A6CB9"/>
    <w:rsid w:val="001B0FD8"/>
    <w:rsid w:val="001B486B"/>
    <w:rsid w:val="001C2C2C"/>
    <w:rsid w:val="001C5AD9"/>
    <w:rsid w:val="001C5D77"/>
    <w:rsid w:val="001C71B7"/>
    <w:rsid w:val="001C71E0"/>
    <w:rsid w:val="001D5B9F"/>
    <w:rsid w:val="001D7217"/>
    <w:rsid w:val="001E015F"/>
    <w:rsid w:val="001E0BA2"/>
    <w:rsid w:val="001E0D35"/>
    <w:rsid w:val="001E113A"/>
    <w:rsid w:val="001E2227"/>
    <w:rsid w:val="001F0B72"/>
    <w:rsid w:val="001F0C5E"/>
    <w:rsid w:val="001F16D8"/>
    <w:rsid w:val="001F3271"/>
    <w:rsid w:val="001F48AD"/>
    <w:rsid w:val="00201464"/>
    <w:rsid w:val="00207A85"/>
    <w:rsid w:val="00207F31"/>
    <w:rsid w:val="0021008E"/>
    <w:rsid w:val="00210F94"/>
    <w:rsid w:val="00213038"/>
    <w:rsid w:val="00213B49"/>
    <w:rsid w:val="0021442D"/>
    <w:rsid w:val="002157B8"/>
    <w:rsid w:val="002203DC"/>
    <w:rsid w:val="00220ECD"/>
    <w:rsid w:val="00223C0E"/>
    <w:rsid w:val="00224077"/>
    <w:rsid w:val="002254E6"/>
    <w:rsid w:val="00225D8F"/>
    <w:rsid w:val="002301F7"/>
    <w:rsid w:val="002310A9"/>
    <w:rsid w:val="00232331"/>
    <w:rsid w:val="002332A4"/>
    <w:rsid w:val="002334F7"/>
    <w:rsid w:val="0023661C"/>
    <w:rsid w:val="0023704B"/>
    <w:rsid w:val="00237D51"/>
    <w:rsid w:val="00244238"/>
    <w:rsid w:val="00247115"/>
    <w:rsid w:val="00250F02"/>
    <w:rsid w:val="002535EE"/>
    <w:rsid w:val="0025648E"/>
    <w:rsid w:val="002623ED"/>
    <w:rsid w:val="00262F88"/>
    <w:rsid w:val="0027049B"/>
    <w:rsid w:val="00272D0E"/>
    <w:rsid w:val="00274623"/>
    <w:rsid w:val="00274864"/>
    <w:rsid w:val="00277C2A"/>
    <w:rsid w:val="00281A99"/>
    <w:rsid w:val="0028242C"/>
    <w:rsid w:val="00287DD2"/>
    <w:rsid w:val="00293B37"/>
    <w:rsid w:val="0029536B"/>
    <w:rsid w:val="00295A87"/>
    <w:rsid w:val="0029620C"/>
    <w:rsid w:val="002A246A"/>
    <w:rsid w:val="002A2BE2"/>
    <w:rsid w:val="002A746E"/>
    <w:rsid w:val="002B064A"/>
    <w:rsid w:val="002B0BA3"/>
    <w:rsid w:val="002B1B01"/>
    <w:rsid w:val="002B2893"/>
    <w:rsid w:val="002B4AFB"/>
    <w:rsid w:val="002B670C"/>
    <w:rsid w:val="002B72FD"/>
    <w:rsid w:val="002C0215"/>
    <w:rsid w:val="002C078B"/>
    <w:rsid w:val="002C18E5"/>
    <w:rsid w:val="002C264D"/>
    <w:rsid w:val="002C5561"/>
    <w:rsid w:val="002C6354"/>
    <w:rsid w:val="002C7387"/>
    <w:rsid w:val="002D055B"/>
    <w:rsid w:val="002D4BA6"/>
    <w:rsid w:val="002D736C"/>
    <w:rsid w:val="002D7E27"/>
    <w:rsid w:val="002E06F0"/>
    <w:rsid w:val="002E0DB1"/>
    <w:rsid w:val="002E2BAF"/>
    <w:rsid w:val="002E6D5F"/>
    <w:rsid w:val="002F1079"/>
    <w:rsid w:val="002F474E"/>
    <w:rsid w:val="002F5D0F"/>
    <w:rsid w:val="003004A5"/>
    <w:rsid w:val="00300C2F"/>
    <w:rsid w:val="0030496A"/>
    <w:rsid w:val="00313192"/>
    <w:rsid w:val="00314D32"/>
    <w:rsid w:val="00315155"/>
    <w:rsid w:val="003153C1"/>
    <w:rsid w:val="0031732D"/>
    <w:rsid w:val="0032049D"/>
    <w:rsid w:val="00321CF6"/>
    <w:rsid w:val="003222D4"/>
    <w:rsid w:val="0032447A"/>
    <w:rsid w:val="003245BA"/>
    <w:rsid w:val="003262AE"/>
    <w:rsid w:val="00330327"/>
    <w:rsid w:val="003304B5"/>
    <w:rsid w:val="00332D29"/>
    <w:rsid w:val="0033562D"/>
    <w:rsid w:val="00336E1C"/>
    <w:rsid w:val="003446B8"/>
    <w:rsid w:val="00345597"/>
    <w:rsid w:val="00346A45"/>
    <w:rsid w:val="00347414"/>
    <w:rsid w:val="00352435"/>
    <w:rsid w:val="00352F88"/>
    <w:rsid w:val="003530A7"/>
    <w:rsid w:val="0035745C"/>
    <w:rsid w:val="00360843"/>
    <w:rsid w:val="003624FB"/>
    <w:rsid w:val="0036279A"/>
    <w:rsid w:val="00364923"/>
    <w:rsid w:val="00370CA8"/>
    <w:rsid w:val="003752ED"/>
    <w:rsid w:val="00375AC1"/>
    <w:rsid w:val="00380304"/>
    <w:rsid w:val="0038377C"/>
    <w:rsid w:val="003861E4"/>
    <w:rsid w:val="00391EF6"/>
    <w:rsid w:val="00392AB9"/>
    <w:rsid w:val="0039382C"/>
    <w:rsid w:val="003955CB"/>
    <w:rsid w:val="00395878"/>
    <w:rsid w:val="0039689F"/>
    <w:rsid w:val="003A2022"/>
    <w:rsid w:val="003A40A6"/>
    <w:rsid w:val="003A5590"/>
    <w:rsid w:val="003B0165"/>
    <w:rsid w:val="003B05C8"/>
    <w:rsid w:val="003B1F10"/>
    <w:rsid w:val="003B40C8"/>
    <w:rsid w:val="003B7AA7"/>
    <w:rsid w:val="003C2BE3"/>
    <w:rsid w:val="003D0AFE"/>
    <w:rsid w:val="003D155C"/>
    <w:rsid w:val="003D5AE9"/>
    <w:rsid w:val="003D707D"/>
    <w:rsid w:val="003E2A0D"/>
    <w:rsid w:val="003E4057"/>
    <w:rsid w:val="003E5733"/>
    <w:rsid w:val="003E5C6D"/>
    <w:rsid w:val="003E6DD0"/>
    <w:rsid w:val="003F1268"/>
    <w:rsid w:val="003F175C"/>
    <w:rsid w:val="003F27E6"/>
    <w:rsid w:val="003F4DC0"/>
    <w:rsid w:val="003F4F16"/>
    <w:rsid w:val="003F6883"/>
    <w:rsid w:val="003F7D00"/>
    <w:rsid w:val="0040332D"/>
    <w:rsid w:val="00410093"/>
    <w:rsid w:val="00412938"/>
    <w:rsid w:val="00412CCB"/>
    <w:rsid w:val="004136A8"/>
    <w:rsid w:val="00414EDE"/>
    <w:rsid w:val="0042345D"/>
    <w:rsid w:val="00425BC0"/>
    <w:rsid w:val="00433C45"/>
    <w:rsid w:val="00434513"/>
    <w:rsid w:val="00436AE4"/>
    <w:rsid w:val="00436CE7"/>
    <w:rsid w:val="00444058"/>
    <w:rsid w:val="00447507"/>
    <w:rsid w:val="00450996"/>
    <w:rsid w:val="00454216"/>
    <w:rsid w:val="00455940"/>
    <w:rsid w:val="0045709B"/>
    <w:rsid w:val="004611F1"/>
    <w:rsid w:val="00462A1D"/>
    <w:rsid w:val="00464D24"/>
    <w:rsid w:val="0046710E"/>
    <w:rsid w:val="00470563"/>
    <w:rsid w:val="00473845"/>
    <w:rsid w:val="00473E9E"/>
    <w:rsid w:val="004745E3"/>
    <w:rsid w:val="004762E0"/>
    <w:rsid w:val="004773C3"/>
    <w:rsid w:val="0048182E"/>
    <w:rsid w:val="00481E7D"/>
    <w:rsid w:val="004903B4"/>
    <w:rsid w:val="00491E7C"/>
    <w:rsid w:val="00494576"/>
    <w:rsid w:val="004979A8"/>
    <w:rsid w:val="004A236F"/>
    <w:rsid w:val="004A328F"/>
    <w:rsid w:val="004A4723"/>
    <w:rsid w:val="004A5ABB"/>
    <w:rsid w:val="004A77DF"/>
    <w:rsid w:val="004B0DF2"/>
    <w:rsid w:val="004B3BCB"/>
    <w:rsid w:val="004C0395"/>
    <w:rsid w:val="004C1001"/>
    <w:rsid w:val="004C1074"/>
    <w:rsid w:val="004C40FC"/>
    <w:rsid w:val="004C7998"/>
    <w:rsid w:val="004D193A"/>
    <w:rsid w:val="004D3B5D"/>
    <w:rsid w:val="004D60F7"/>
    <w:rsid w:val="004D6578"/>
    <w:rsid w:val="004E296F"/>
    <w:rsid w:val="004E6173"/>
    <w:rsid w:val="004E7B62"/>
    <w:rsid w:val="004F1D46"/>
    <w:rsid w:val="004F675F"/>
    <w:rsid w:val="004F75BF"/>
    <w:rsid w:val="004F77DC"/>
    <w:rsid w:val="005027B8"/>
    <w:rsid w:val="00504215"/>
    <w:rsid w:val="00506883"/>
    <w:rsid w:val="0051036C"/>
    <w:rsid w:val="005134C1"/>
    <w:rsid w:val="00517710"/>
    <w:rsid w:val="0052164D"/>
    <w:rsid w:val="00522E4E"/>
    <w:rsid w:val="005245F0"/>
    <w:rsid w:val="005251B7"/>
    <w:rsid w:val="00525C8D"/>
    <w:rsid w:val="00526875"/>
    <w:rsid w:val="0053014B"/>
    <w:rsid w:val="00532737"/>
    <w:rsid w:val="00536AE9"/>
    <w:rsid w:val="00537853"/>
    <w:rsid w:val="005411F8"/>
    <w:rsid w:val="0054128C"/>
    <w:rsid w:val="00541930"/>
    <w:rsid w:val="00541BC2"/>
    <w:rsid w:val="005457FC"/>
    <w:rsid w:val="00545D22"/>
    <w:rsid w:val="00563EC1"/>
    <w:rsid w:val="00566EA1"/>
    <w:rsid w:val="00571D57"/>
    <w:rsid w:val="005735AE"/>
    <w:rsid w:val="0058174B"/>
    <w:rsid w:val="005817A6"/>
    <w:rsid w:val="00582604"/>
    <w:rsid w:val="00583CBF"/>
    <w:rsid w:val="00586F4A"/>
    <w:rsid w:val="00587E70"/>
    <w:rsid w:val="00596C07"/>
    <w:rsid w:val="00597EF5"/>
    <w:rsid w:val="005A0E28"/>
    <w:rsid w:val="005A2336"/>
    <w:rsid w:val="005A2E70"/>
    <w:rsid w:val="005A3C6C"/>
    <w:rsid w:val="005A792C"/>
    <w:rsid w:val="005B0E49"/>
    <w:rsid w:val="005B25CE"/>
    <w:rsid w:val="005B3E4C"/>
    <w:rsid w:val="005B44F4"/>
    <w:rsid w:val="005B4615"/>
    <w:rsid w:val="005B5014"/>
    <w:rsid w:val="005C057B"/>
    <w:rsid w:val="005C0F59"/>
    <w:rsid w:val="005C1363"/>
    <w:rsid w:val="005C1644"/>
    <w:rsid w:val="005C4088"/>
    <w:rsid w:val="005D3582"/>
    <w:rsid w:val="005D4204"/>
    <w:rsid w:val="005D65DF"/>
    <w:rsid w:val="005E089B"/>
    <w:rsid w:val="005E144D"/>
    <w:rsid w:val="005E35B0"/>
    <w:rsid w:val="005E66AB"/>
    <w:rsid w:val="005F10C0"/>
    <w:rsid w:val="005F17B6"/>
    <w:rsid w:val="005F3B9B"/>
    <w:rsid w:val="005F3F4F"/>
    <w:rsid w:val="005F4A6B"/>
    <w:rsid w:val="005F6887"/>
    <w:rsid w:val="00603227"/>
    <w:rsid w:val="00614330"/>
    <w:rsid w:val="00615007"/>
    <w:rsid w:val="00620A50"/>
    <w:rsid w:val="006220C3"/>
    <w:rsid w:val="006225A5"/>
    <w:rsid w:val="00623FD2"/>
    <w:rsid w:val="006256C6"/>
    <w:rsid w:val="00626064"/>
    <w:rsid w:val="00627A4C"/>
    <w:rsid w:val="00630A59"/>
    <w:rsid w:val="00631508"/>
    <w:rsid w:val="006337C9"/>
    <w:rsid w:val="0063413E"/>
    <w:rsid w:val="00636950"/>
    <w:rsid w:val="00636D47"/>
    <w:rsid w:val="00641DEB"/>
    <w:rsid w:val="00650CD8"/>
    <w:rsid w:val="00652A4D"/>
    <w:rsid w:val="00652F31"/>
    <w:rsid w:val="00654D09"/>
    <w:rsid w:val="00656991"/>
    <w:rsid w:val="00657DF9"/>
    <w:rsid w:val="00660BD1"/>
    <w:rsid w:val="00660FAC"/>
    <w:rsid w:val="00666745"/>
    <w:rsid w:val="00671D53"/>
    <w:rsid w:val="006723DE"/>
    <w:rsid w:val="00675503"/>
    <w:rsid w:val="00676778"/>
    <w:rsid w:val="006815CF"/>
    <w:rsid w:val="00685CAB"/>
    <w:rsid w:val="0068738F"/>
    <w:rsid w:val="00690B70"/>
    <w:rsid w:val="00690DBE"/>
    <w:rsid w:val="00692C50"/>
    <w:rsid w:val="006960F0"/>
    <w:rsid w:val="00696BAF"/>
    <w:rsid w:val="006A080F"/>
    <w:rsid w:val="006A2500"/>
    <w:rsid w:val="006A30F8"/>
    <w:rsid w:val="006A4012"/>
    <w:rsid w:val="006A779C"/>
    <w:rsid w:val="006A7960"/>
    <w:rsid w:val="006B11D8"/>
    <w:rsid w:val="006B4A56"/>
    <w:rsid w:val="006C08C1"/>
    <w:rsid w:val="006C285D"/>
    <w:rsid w:val="006C4496"/>
    <w:rsid w:val="006C48DA"/>
    <w:rsid w:val="006D18F1"/>
    <w:rsid w:val="006D2EC0"/>
    <w:rsid w:val="006E2D0F"/>
    <w:rsid w:val="006E5137"/>
    <w:rsid w:val="006E754C"/>
    <w:rsid w:val="006F1604"/>
    <w:rsid w:val="006F2B9E"/>
    <w:rsid w:val="006F383D"/>
    <w:rsid w:val="006F6C78"/>
    <w:rsid w:val="00704A0C"/>
    <w:rsid w:val="00710F57"/>
    <w:rsid w:val="00713119"/>
    <w:rsid w:val="00714446"/>
    <w:rsid w:val="00716A2C"/>
    <w:rsid w:val="0071746C"/>
    <w:rsid w:val="00717637"/>
    <w:rsid w:val="00721378"/>
    <w:rsid w:val="00723B62"/>
    <w:rsid w:val="00725125"/>
    <w:rsid w:val="00730463"/>
    <w:rsid w:val="0073090B"/>
    <w:rsid w:val="007373DA"/>
    <w:rsid w:val="00741309"/>
    <w:rsid w:val="0075678D"/>
    <w:rsid w:val="007605E6"/>
    <w:rsid w:val="007619B6"/>
    <w:rsid w:val="00762098"/>
    <w:rsid w:val="00764EC4"/>
    <w:rsid w:val="00770859"/>
    <w:rsid w:val="00773948"/>
    <w:rsid w:val="007741E9"/>
    <w:rsid w:val="007754E3"/>
    <w:rsid w:val="007756BB"/>
    <w:rsid w:val="00776606"/>
    <w:rsid w:val="0078295F"/>
    <w:rsid w:val="0078770A"/>
    <w:rsid w:val="00797083"/>
    <w:rsid w:val="007A2BA8"/>
    <w:rsid w:val="007A31F6"/>
    <w:rsid w:val="007A4292"/>
    <w:rsid w:val="007A453B"/>
    <w:rsid w:val="007A7BC8"/>
    <w:rsid w:val="007B3CF3"/>
    <w:rsid w:val="007B5E2B"/>
    <w:rsid w:val="007B6762"/>
    <w:rsid w:val="007C0A6D"/>
    <w:rsid w:val="007C171E"/>
    <w:rsid w:val="007C3974"/>
    <w:rsid w:val="007C49A1"/>
    <w:rsid w:val="007C4D11"/>
    <w:rsid w:val="007C514C"/>
    <w:rsid w:val="007C51EC"/>
    <w:rsid w:val="007C580D"/>
    <w:rsid w:val="007C7A9A"/>
    <w:rsid w:val="007D0304"/>
    <w:rsid w:val="007D0633"/>
    <w:rsid w:val="007D0E42"/>
    <w:rsid w:val="007D35AA"/>
    <w:rsid w:val="007D4EF1"/>
    <w:rsid w:val="007D6DB6"/>
    <w:rsid w:val="007E63FC"/>
    <w:rsid w:val="007F0C32"/>
    <w:rsid w:val="007F1AAD"/>
    <w:rsid w:val="007F2087"/>
    <w:rsid w:val="007F3557"/>
    <w:rsid w:val="007F52CD"/>
    <w:rsid w:val="007F6F3D"/>
    <w:rsid w:val="008016E7"/>
    <w:rsid w:val="00804B82"/>
    <w:rsid w:val="00810675"/>
    <w:rsid w:val="0081074D"/>
    <w:rsid w:val="00810853"/>
    <w:rsid w:val="00810902"/>
    <w:rsid w:val="00811B39"/>
    <w:rsid w:val="00812DBC"/>
    <w:rsid w:val="00831857"/>
    <w:rsid w:val="008335E7"/>
    <w:rsid w:val="00833DBF"/>
    <w:rsid w:val="0083435B"/>
    <w:rsid w:val="0083765E"/>
    <w:rsid w:val="0084095A"/>
    <w:rsid w:val="0084148D"/>
    <w:rsid w:val="008429AC"/>
    <w:rsid w:val="008436B8"/>
    <w:rsid w:val="00843DAF"/>
    <w:rsid w:val="00844638"/>
    <w:rsid w:val="008477AE"/>
    <w:rsid w:val="00852E64"/>
    <w:rsid w:val="008560E6"/>
    <w:rsid w:val="008635AC"/>
    <w:rsid w:val="00865422"/>
    <w:rsid w:val="00870BCC"/>
    <w:rsid w:val="00871F84"/>
    <w:rsid w:val="00872965"/>
    <w:rsid w:val="00872DDB"/>
    <w:rsid w:val="00875927"/>
    <w:rsid w:val="0087687A"/>
    <w:rsid w:val="00876C4A"/>
    <w:rsid w:val="00881AB8"/>
    <w:rsid w:val="00886652"/>
    <w:rsid w:val="008A273C"/>
    <w:rsid w:val="008A5ED5"/>
    <w:rsid w:val="008A7768"/>
    <w:rsid w:val="008A7C2A"/>
    <w:rsid w:val="008B5066"/>
    <w:rsid w:val="008C0BE1"/>
    <w:rsid w:val="008C15DD"/>
    <w:rsid w:val="008C41F7"/>
    <w:rsid w:val="008C676F"/>
    <w:rsid w:val="008D0A40"/>
    <w:rsid w:val="008D1632"/>
    <w:rsid w:val="008D1797"/>
    <w:rsid w:val="008D3890"/>
    <w:rsid w:val="008D7529"/>
    <w:rsid w:val="008D7B2A"/>
    <w:rsid w:val="008D7BE3"/>
    <w:rsid w:val="008E27B6"/>
    <w:rsid w:val="008E29E1"/>
    <w:rsid w:val="008E2EB0"/>
    <w:rsid w:val="008E322B"/>
    <w:rsid w:val="008F07C6"/>
    <w:rsid w:val="008F0B6C"/>
    <w:rsid w:val="008F4C80"/>
    <w:rsid w:val="0090292E"/>
    <w:rsid w:val="00922247"/>
    <w:rsid w:val="00932933"/>
    <w:rsid w:val="00937179"/>
    <w:rsid w:val="00940332"/>
    <w:rsid w:val="00941FB4"/>
    <w:rsid w:val="009428BD"/>
    <w:rsid w:val="00943F3A"/>
    <w:rsid w:val="00945502"/>
    <w:rsid w:val="00945552"/>
    <w:rsid w:val="00947179"/>
    <w:rsid w:val="00947828"/>
    <w:rsid w:val="00952768"/>
    <w:rsid w:val="00955CCA"/>
    <w:rsid w:val="00961C4C"/>
    <w:rsid w:val="00962D95"/>
    <w:rsid w:val="00965B1E"/>
    <w:rsid w:val="00967CF3"/>
    <w:rsid w:val="00972436"/>
    <w:rsid w:val="00972ADD"/>
    <w:rsid w:val="00972E1F"/>
    <w:rsid w:val="009737AE"/>
    <w:rsid w:val="00975C92"/>
    <w:rsid w:val="0097604C"/>
    <w:rsid w:val="00976A2E"/>
    <w:rsid w:val="00976F84"/>
    <w:rsid w:val="00981A6D"/>
    <w:rsid w:val="00984505"/>
    <w:rsid w:val="0098518E"/>
    <w:rsid w:val="009861BA"/>
    <w:rsid w:val="009862B9"/>
    <w:rsid w:val="0098730E"/>
    <w:rsid w:val="009901E0"/>
    <w:rsid w:val="00995ADC"/>
    <w:rsid w:val="00995C7E"/>
    <w:rsid w:val="009A2E9E"/>
    <w:rsid w:val="009A3CBE"/>
    <w:rsid w:val="009A6DDF"/>
    <w:rsid w:val="009B05E4"/>
    <w:rsid w:val="009B2ADC"/>
    <w:rsid w:val="009B2E69"/>
    <w:rsid w:val="009B5092"/>
    <w:rsid w:val="009B537B"/>
    <w:rsid w:val="009B5A21"/>
    <w:rsid w:val="009C7870"/>
    <w:rsid w:val="009D16A9"/>
    <w:rsid w:val="009D36FA"/>
    <w:rsid w:val="009D43D2"/>
    <w:rsid w:val="009D58A2"/>
    <w:rsid w:val="009D7293"/>
    <w:rsid w:val="009D7D36"/>
    <w:rsid w:val="009E03A7"/>
    <w:rsid w:val="009E0DC5"/>
    <w:rsid w:val="009E1543"/>
    <w:rsid w:val="009E31D4"/>
    <w:rsid w:val="009E6F85"/>
    <w:rsid w:val="009F429A"/>
    <w:rsid w:val="009F6B37"/>
    <w:rsid w:val="00A01547"/>
    <w:rsid w:val="00A02EC5"/>
    <w:rsid w:val="00A04F81"/>
    <w:rsid w:val="00A061CC"/>
    <w:rsid w:val="00A06F36"/>
    <w:rsid w:val="00A1097B"/>
    <w:rsid w:val="00A13C8E"/>
    <w:rsid w:val="00A146B0"/>
    <w:rsid w:val="00A212E0"/>
    <w:rsid w:val="00A224F6"/>
    <w:rsid w:val="00A238FE"/>
    <w:rsid w:val="00A262B5"/>
    <w:rsid w:val="00A2695F"/>
    <w:rsid w:val="00A33554"/>
    <w:rsid w:val="00A37F2E"/>
    <w:rsid w:val="00A43AE2"/>
    <w:rsid w:val="00A43B2C"/>
    <w:rsid w:val="00A44566"/>
    <w:rsid w:val="00A4474A"/>
    <w:rsid w:val="00A47896"/>
    <w:rsid w:val="00A526F4"/>
    <w:rsid w:val="00A55639"/>
    <w:rsid w:val="00A557F1"/>
    <w:rsid w:val="00A601C7"/>
    <w:rsid w:val="00A6076E"/>
    <w:rsid w:val="00A61793"/>
    <w:rsid w:val="00A6485E"/>
    <w:rsid w:val="00A67466"/>
    <w:rsid w:val="00A729FB"/>
    <w:rsid w:val="00A75A48"/>
    <w:rsid w:val="00A80248"/>
    <w:rsid w:val="00A80627"/>
    <w:rsid w:val="00A80C63"/>
    <w:rsid w:val="00A822B4"/>
    <w:rsid w:val="00A878AB"/>
    <w:rsid w:val="00A87C00"/>
    <w:rsid w:val="00AA11D6"/>
    <w:rsid w:val="00AA1D7F"/>
    <w:rsid w:val="00AA2A0E"/>
    <w:rsid w:val="00AA5C49"/>
    <w:rsid w:val="00AB2129"/>
    <w:rsid w:val="00AB3C07"/>
    <w:rsid w:val="00AB4A18"/>
    <w:rsid w:val="00AB52B0"/>
    <w:rsid w:val="00AC2027"/>
    <w:rsid w:val="00AC39BD"/>
    <w:rsid w:val="00AC4C5F"/>
    <w:rsid w:val="00AC5B73"/>
    <w:rsid w:val="00AD115C"/>
    <w:rsid w:val="00AD1825"/>
    <w:rsid w:val="00AD57D2"/>
    <w:rsid w:val="00AD6268"/>
    <w:rsid w:val="00AD70A4"/>
    <w:rsid w:val="00AE27C8"/>
    <w:rsid w:val="00AF07AD"/>
    <w:rsid w:val="00B0167F"/>
    <w:rsid w:val="00B04035"/>
    <w:rsid w:val="00B04A3D"/>
    <w:rsid w:val="00B04EC6"/>
    <w:rsid w:val="00B072A0"/>
    <w:rsid w:val="00B10EDE"/>
    <w:rsid w:val="00B12A34"/>
    <w:rsid w:val="00B24F45"/>
    <w:rsid w:val="00B252FF"/>
    <w:rsid w:val="00B2776D"/>
    <w:rsid w:val="00B52B23"/>
    <w:rsid w:val="00B545D5"/>
    <w:rsid w:val="00B552CD"/>
    <w:rsid w:val="00B56751"/>
    <w:rsid w:val="00B570A0"/>
    <w:rsid w:val="00B601DF"/>
    <w:rsid w:val="00B60270"/>
    <w:rsid w:val="00B6028C"/>
    <w:rsid w:val="00B6166D"/>
    <w:rsid w:val="00B6675B"/>
    <w:rsid w:val="00B66CC4"/>
    <w:rsid w:val="00B73F3C"/>
    <w:rsid w:val="00B82858"/>
    <w:rsid w:val="00B82F01"/>
    <w:rsid w:val="00B84AEB"/>
    <w:rsid w:val="00B8744D"/>
    <w:rsid w:val="00B9134C"/>
    <w:rsid w:val="00B9179A"/>
    <w:rsid w:val="00B93A7B"/>
    <w:rsid w:val="00B95B43"/>
    <w:rsid w:val="00B96671"/>
    <w:rsid w:val="00BA0C90"/>
    <w:rsid w:val="00BA1D57"/>
    <w:rsid w:val="00BA2990"/>
    <w:rsid w:val="00BA37EA"/>
    <w:rsid w:val="00BA45EC"/>
    <w:rsid w:val="00BB5607"/>
    <w:rsid w:val="00BB7286"/>
    <w:rsid w:val="00BB7384"/>
    <w:rsid w:val="00BB7EF5"/>
    <w:rsid w:val="00BC17A0"/>
    <w:rsid w:val="00BC666F"/>
    <w:rsid w:val="00BD13E2"/>
    <w:rsid w:val="00BD6CB3"/>
    <w:rsid w:val="00BD7414"/>
    <w:rsid w:val="00BE4143"/>
    <w:rsid w:val="00BE50E0"/>
    <w:rsid w:val="00BE6BA3"/>
    <w:rsid w:val="00BF2410"/>
    <w:rsid w:val="00BF7AE8"/>
    <w:rsid w:val="00C00370"/>
    <w:rsid w:val="00C00F3E"/>
    <w:rsid w:val="00C02D9C"/>
    <w:rsid w:val="00C03A65"/>
    <w:rsid w:val="00C03D76"/>
    <w:rsid w:val="00C0416A"/>
    <w:rsid w:val="00C044AB"/>
    <w:rsid w:val="00C10A9D"/>
    <w:rsid w:val="00C13A76"/>
    <w:rsid w:val="00C15027"/>
    <w:rsid w:val="00C155DB"/>
    <w:rsid w:val="00C22111"/>
    <w:rsid w:val="00C26FA6"/>
    <w:rsid w:val="00C31120"/>
    <w:rsid w:val="00C31601"/>
    <w:rsid w:val="00C316CE"/>
    <w:rsid w:val="00C3199F"/>
    <w:rsid w:val="00C327D0"/>
    <w:rsid w:val="00C355EE"/>
    <w:rsid w:val="00C37318"/>
    <w:rsid w:val="00C43F50"/>
    <w:rsid w:val="00C44D8C"/>
    <w:rsid w:val="00C5391B"/>
    <w:rsid w:val="00C63020"/>
    <w:rsid w:val="00C63033"/>
    <w:rsid w:val="00C63170"/>
    <w:rsid w:val="00C64FD7"/>
    <w:rsid w:val="00C669CD"/>
    <w:rsid w:val="00C673D6"/>
    <w:rsid w:val="00C678BB"/>
    <w:rsid w:val="00C73BE6"/>
    <w:rsid w:val="00C760F9"/>
    <w:rsid w:val="00C772D7"/>
    <w:rsid w:val="00C82491"/>
    <w:rsid w:val="00C83ED7"/>
    <w:rsid w:val="00C855C9"/>
    <w:rsid w:val="00C917C2"/>
    <w:rsid w:val="00C91D14"/>
    <w:rsid w:val="00C940C3"/>
    <w:rsid w:val="00C94E25"/>
    <w:rsid w:val="00C96C63"/>
    <w:rsid w:val="00CA08FD"/>
    <w:rsid w:val="00CA29AB"/>
    <w:rsid w:val="00CA3E8A"/>
    <w:rsid w:val="00CA5BC0"/>
    <w:rsid w:val="00CA6EC8"/>
    <w:rsid w:val="00CB0D0B"/>
    <w:rsid w:val="00CB50B2"/>
    <w:rsid w:val="00CB789E"/>
    <w:rsid w:val="00CC7BD4"/>
    <w:rsid w:val="00CD0424"/>
    <w:rsid w:val="00CD1D11"/>
    <w:rsid w:val="00CD44BF"/>
    <w:rsid w:val="00CE27ED"/>
    <w:rsid w:val="00CE521F"/>
    <w:rsid w:val="00CE59ED"/>
    <w:rsid w:val="00CE6113"/>
    <w:rsid w:val="00CF2218"/>
    <w:rsid w:val="00CF4A0B"/>
    <w:rsid w:val="00CF54E4"/>
    <w:rsid w:val="00CF56B6"/>
    <w:rsid w:val="00D00476"/>
    <w:rsid w:val="00D00E65"/>
    <w:rsid w:val="00D022B5"/>
    <w:rsid w:val="00D02E23"/>
    <w:rsid w:val="00D04697"/>
    <w:rsid w:val="00D10437"/>
    <w:rsid w:val="00D109C3"/>
    <w:rsid w:val="00D1759B"/>
    <w:rsid w:val="00D17C34"/>
    <w:rsid w:val="00D2089B"/>
    <w:rsid w:val="00D2141C"/>
    <w:rsid w:val="00D23C56"/>
    <w:rsid w:val="00D26C61"/>
    <w:rsid w:val="00D2751C"/>
    <w:rsid w:val="00D30FDB"/>
    <w:rsid w:val="00D32C50"/>
    <w:rsid w:val="00D35F4B"/>
    <w:rsid w:val="00D43884"/>
    <w:rsid w:val="00D44A05"/>
    <w:rsid w:val="00D44BE3"/>
    <w:rsid w:val="00D45F0F"/>
    <w:rsid w:val="00D46F7D"/>
    <w:rsid w:val="00D50330"/>
    <w:rsid w:val="00D51CE1"/>
    <w:rsid w:val="00D54B52"/>
    <w:rsid w:val="00D631AA"/>
    <w:rsid w:val="00D64565"/>
    <w:rsid w:val="00D65C54"/>
    <w:rsid w:val="00D715FB"/>
    <w:rsid w:val="00D76870"/>
    <w:rsid w:val="00D76D7C"/>
    <w:rsid w:val="00D80D9A"/>
    <w:rsid w:val="00D81838"/>
    <w:rsid w:val="00D83B4E"/>
    <w:rsid w:val="00D87B28"/>
    <w:rsid w:val="00D90F01"/>
    <w:rsid w:val="00D93C7D"/>
    <w:rsid w:val="00D96C52"/>
    <w:rsid w:val="00D97619"/>
    <w:rsid w:val="00DA10A8"/>
    <w:rsid w:val="00DA1584"/>
    <w:rsid w:val="00DA212D"/>
    <w:rsid w:val="00DA36F0"/>
    <w:rsid w:val="00DA44C0"/>
    <w:rsid w:val="00DA44FD"/>
    <w:rsid w:val="00DA7DC8"/>
    <w:rsid w:val="00DB5555"/>
    <w:rsid w:val="00DB55CE"/>
    <w:rsid w:val="00DC406D"/>
    <w:rsid w:val="00DC42E4"/>
    <w:rsid w:val="00DC6AD9"/>
    <w:rsid w:val="00DC6EC8"/>
    <w:rsid w:val="00DC72EB"/>
    <w:rsid w:val="00DD24A5"/>
    <w:rsid w:val="00DD5C6C"/>
    <w:rsid w:val="00DD79D3"/>
    <w:rsid w:val="00DE3837"/>
    <w:rsid w:val="00DE51DF"/>
    <w:rsid w:val="00DE5B55"/>
    <w:rsid w:val="00DF2ADB"/>
    <w:rsid w:val="00E04175"/>
    <w:rsid w:val="00E04B9D"/>
    <w:rsid w:val="00E06286"/>
    <w:rsid w:val="00E06ACD"/>
    <w:rsid w:val="00E104A4"/>
    <w:rsid w:val="00E11C38"/>
    <w:rsid w:val="00E14E12"/>
    <w:rsid w:val="00E209B7"/>
    <w:rsid w:val="00E243F1"/>
    <w:rsid w:val="00E245A2"/>
    <w:rsid w:val="00E27BD0"/>
    <w:rsid w:val="00E3114E"/>
    <w:rsid w:val="00E31465"/>
    <w:rsid w:val="00E32D5D"/>
    <w:rsid w:val="00E3684E"/>
    <w:rsid w:val="00E4072E"/>
    <w:rsid w:val="00E413C5"/>
    <w:rsid w:val="00E4148C"/>
    <w:rsid w:val="00E418C4"/>
    <w:rsid w:val="00E46C80"/>
    <w:rsid w:val="00E510F5"/>
    <w:rsid w:val="00E51E57"/>
    <w:rsid w:val="00E52140"/>
    <w:rsid w:val="00E53030"/>
    <w:rsid w:val="00E54DD4"/>
    <w:rsid w:val="00E61670"/>
    <w:rsid w:val="00E64DDA"/>
    <w:rsid w:val="00E66A6E"/>
    <w:rsid w:val="00E71B35"/>
    <w:rsid w:val="00E731E8"/>
    <w:rsid w:val="00E74D91"/>
    <w:rsid w:val="00E75DE9"/>
    <w:rsid w:val="00E75E6E"/>
    <w:rsid w:val="00E818CF"/>
    <w:rsid w:val="00E81D7E"/>
    <w:rsid w:val="00E83594"/>
    <w:rsid w:val="00E84174"/>
    <w:rsid w:val="00E84B1B"/>
    <w:rsid w:val="00E9047D"/>
    <w:rsid w:val="00E91068"/>
    <w:rsid w:val="00E915B8"/>
    <w:rsid w:val="00E96271"/>
    <w:rsid w:val="00EA1BD4"/>
    <w:rsid w:val="00EA310A"/>
    <w:rsid w:val="00EA40A7"/>
    <w:rsid w:val="00EA5949"/>
    <w:rsid w:val="00EA6D4C"/>
    <w:rsid w:val="00EA7314"/>
    <w:rsid w:val="00EB41A7"/>
    <w:rsid w:val="00EB57C4"/>
    <w:rsid w:val="00EB71D3"/>
    <w:rsid w:val="00EB7E4D"/>
    <w:rsid w:val="00EC06CD"/>
    <w:rsid w:val="00EC1F74"/>
    <w:rsid w:val="00EC6562"/>
    <w:rsid w:val="00EC66BC"/>
    <w:rsid w:val="00EC68B9"/>
    <w:rsid w:val="00ED2DFE"/>
    <w:rsid w:val="00EE1374"/>
    <w:rsid w:val="00EE2FC3"/>
    <w:rsid w:val="00EE512E"/>
    <w:rsid w:val="00EE7245"/>
    <w:rsid w:val="00EF3EFD"/>
    <w:rsid w:val="00EF737F"/>
    <w:rsid w:val="00F03548"/>
    <w:rsid w:val="00F063E4"/>
    <w:rsid w:val="00F06BDB"/>
    <w:rsid w:val="00F071F5"/>
    <w:rsid w:val="00F104EF"/>
    <w:rsid w:val="00F109D9"/>
    <w:rsid w:val="00F13F64"/>
    <w:rsid w:val="00F17FB0"/>
    <w:rsid w:val="00F24B30"/>
    <w:rsid w:val="00F34A04"/>
    <w:rsid w:val="00F359C9"/>
    <w:rsid w:val="00F43878"/>
    <w:rsid w:val="00F44DE8"/>
    <w:rsid w:val="00F46391"/>
    <w:rsid w:val="00F50C8C"/>
    <w:rsid w:val="00F573D0"/>
    <w:rsid w:val="00F57DD5"/>
    <w:rsid w:val="00F57F89"/>
    <w:rsid w:val="00F62CBB"/>
    <w:rsid w:val="00F7102B"/>
    <w:rsid w:val="00F72497"/>
    <w:rsid w:val="00F73317"/>
    <w:rsid w:val="00F74AA1"/>
    <w:rsid w:val="00F76D44"/>
    <w:rsid w:val="00F776F5"/>
    <w:rsid w:val="00F806BE"/>
    <w:rsid w:val="00F8325F"/>
    <w:rsid w:val="00F83380"/>
    <w:rsid w:val="00F83395"/>
    <w:rsid w:val="00F85204"/>
    <w:rsid w:val="00F931CF"/>
    <w:rsid w:val="00F9348B"/>
    <w:rsid w:val="00F949CC"/>
    <w:rsid w:val="00F95029"/>
    <w:rsid w:val="00F96E50"/>
    <w:rsid w:val="00F9735B"/>
    <w:rsid w:val="00FA1FDD"/>
    <w:rsid w:val="00FA39C7"/>
    <w:rsid w:val="00FA4DCA"/>
    <w:rsid w:val="00FB02B5"/>
    <w:rsid w:val="00FB0328"/>
    <w:rsid w:val="00FB21BC"/>
    <w:rsid w:val="00FB663A"/>
    <w:rsid w:val="00FC6DA7"/>
    <w:rsid w:val="00FD7D6B"/>
    <w:rsid w:val="00FE318C"/>
    <w:rsid w:val="00FE40C6"/>
    <w:rsid w:val="00FE4337"/>
    <w:rsid w:val="00FE6EFC"/>
    <w:rsid w:val="00FE7115"/>
    <w:rsid w:val="00FF11CE"/>
    <w:rsid w:val="00FF1C5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C71E0"/>
    <w:pPr>
      <w:keepNext/>
      <w:keepLines/>
      <w:spacing w:before="480" w:after="0"/>
      <w:outlineLvl w:val="0"/>
    </w:pPr>
    <w:rPr>
      <w:rFonts w:eastAsiaTheme="majorEastAsia" w:cstheme="majorBidi"/>
      <w:b/>
      <w:bCs/>
      <w:color w:val="262626" w:themeColor="text1" w:themeTint="D9"/>
      <w:sz w:val="28"/>
      <w:szCs w:val="28"/>
    </w:rPr>
  </w:style>
  <w:style w:type="paragraph" w:styleId="Kop2">
    <w:name w:val="heading 2"/>
    <w:basedOn w:val="Standaard"/>
    <w:next w:val="Standaard"/>
    <w:link w:val="Kop2Char"/>
    <w:uiPriority w:val="9"/>
    <w:unhideWhenUsed/>
    <w:qFormat/>
    <w:rsid w:val="001C71E0"/>
    <w:pPr>
      <w:keepNext/>
      <w:keepLines/>
      <w:spacing w:before="200" w:after="0"/>
      <w:outlineLvl w:val="1"/>
    </w:pPr>
    <w:rPr>
      <w:rFonts w:eastAsiaTheme="majorEastAsia" w:cstheme="majorBidi"/>
      <w:b/>
      <w:bCs/>
      <w:color w:val="404040" w:themeColor="text1" w:themeTint="BF"/>
      <w:sz w:val="26"/>
      <w:szCs w:val="26"/>
    </w:rPr>
  </w:style>
  <w:style w:type="paragraph" w:styleId="Kop3">
    <w:name w:val="heading 3"/>
    <w:basedOn w:val="Standaard"/>
    <w:next w:val="Standaard"/>
    <w:link w:val="Kop3Char"/>
    <w:uiPriority w:val="9"/>
    <w:unhideWhenUsed/>
    <w:qFormat/>
    <w:rsid w:val="001C71E0"/>
    <w:pPr>
      <w:keepNext/>
      <w:keepLines/>
      <w:spacing w:before="200" w:after="0"/>
      <w:outlineLvl w:val="2"/>
    </w:pPr>
    <w:rPr>
      <w:rFonts w:asciiTheme="majorHAnsi" w:eastAsiaTheme="majorEastAsia" w:hAnsiTheme="majorHAnsi" w:cstheme="majorBidi"/>
      <w:b/>
      <w:bCs/>
      <w:color w:val="404040" w:themeColor="text1" w:themeTint="BF"/>
    </w:rPr>
  </w:style>
  <w:style w:type="paragraph" w:styleId="Kop4">
    <w:name w:val="heading 4"/>
    <w:basedOn w:val="Standaard"/>
    <w:next w:val="Standaard"/>
    <w:link w:val="Kop4Char"/>
    <w:uiPriority w:val="9"/>
    <w:unhideWhenUsed/>
    <w:qFormat/>
    <w:rsid w:val="001C71E0"/>
    <w:pPr>
      <w:keepNext/>
      <w:keepLines/>
      <w:spacing w:before="200" w:after="0"/>
      <w:outlineLvl w:val="3"/>
    </w:pPr>
    <w:rPr>
      <w:rFonts w:asciiTheme="majorHAnsi" w:eastAsiaTheme="majorEastAsia" w:hAnsiTheme="majorHAnsi" w:cstheme="majorBidi"/>
      <w:b/>
      <w:bCs/>
      <w:i/>
      <w:iC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1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7C2"/>
    <w:rPr>
      <w:rFonts w:ascii="Tahoma" w:hAnsi="Tahoma" w:cs="Tahoma"/>
      <w:sz w:val="16"/>
      <w:szCs w:val="16"/>
    </w:rPr>
  </w:style>
  <w:style w:type="paragraph" w:styleId="Koptekst">
    <w:name w:val="header"/>
    <w:basedOn w:val="Standaard"/>
    <w:link w:val="KoptekstChar"/>
    <w:uiPriority w:val="99"/>
    <w:unhideWhenUsed/>
    <w:rsid w:val="00DD5C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C6C"/>
  </w:style>
  <w:style w:type="paragraph" w:styleId="Voettekst">
    <w:name w:val="footer"/>
    <w:basedOn w:val="Standaard"/>
    <w:link w:val="VoettekstChar"/>
    <w:uiPriority w:val="99"/>
    <w:unhideWhenUsed/>
    <w:rsid w:val="00DD5C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C6C"/>
  </w:style>
  <w:style w:type="character" w:customStyle="1" w:styleId="Kop1Char">
    <w:name w:val="Kop 1 Char"/>
    <w:basedOn w:val="Standaardalinea-lettertype"/>
    <w:link w:val="Kop1"/>
    <w:uiPriority w:val="9"/>
    <w:rsid w:val="001C71E0"/>
    <w:rPr>
      <w:rFonts w:eastAsiaTheme="majorEastAsia" w:cstheme="majorBidi"/>
      <w:b/>
      <w:bCs/>
      <w:color w:val="262626" w:themeColor="text1" w:themeTint="D9"/>
      <w:sz w:val="28"/>
      <w:szCs w:val="28"/>
    </w:rPr>
  </w:style>
  <w:style w:type="character" w:customStyle="1" w:styleId="Kop2Char">
    <w:name w:val="Kop 2 Char"/>
    <w:basedOn w:val="Standaardalinea-lettertype"/>
    <w:link w:val="Kop2"/>
    <w:uiPriority w:val="9"/>
    <w:rsid w:val="001C71E0"/>
    <w:rPr>
      <w:rFonts w:eastAsiaTheme="majorEastAsia" w:cstheme="majorBidi"/>
      <w:b/>
      <w:bCs/>
      <w:color w:val="404040" w:themeColor="text1" w:themeTint="BF"/>
      <w:sz w:val="26"/>
      <w:szCs w:val="26"/>
    </w:rPr>
  </w:style>
  <w:style w:type="paragraph" w:styleId="Titel">
    <w:name w:val="Title"/>
    <w:basedOn w:val="Standaard"/>
    <w:next w:val="Standaard"/>
    <w:link w:val="TitelChar"/>
    <w:uiPriority w:val="10"/>
    <w:qFormat/>
    <w:rsid w:val="001C71E0"/>
    <w:pPr>
      <w:pBdr>
        <w:bottom w:val="single" w:sz="8" w:space="4" w:color="4F81BD" w:themeColor="accent1"/>
      </w:pBdr>
      <w:spacing w:after="300" w:line="240" w:lineRule="auto"/>
      <w:contextualSpacing/>
    </w:pPr>
    <w:rPr>
      <w:rFonts w:eastAsiaTheme="majorEastAsia" w:cstheme="majorBidi"/>
      <w:b/>
      <w:color w:val="0D0D0D" w:themeColor="text1" w:themeTint="F2"/>
      <w:spacing w:val="5"/>
      <w:kern w:val="28"/>
      <w:sz w:val="52"/>
      <w:szCs w:val="52"/>
    </w:rPr>
  </w:style>
  <w:style w:type="character" w:customStyle="1" w:styleId="TitelChar">
    <w:name w:val="Titel Char"/>
    <w:basedOn w:val="Standaardalinea-lettertype"/>
    <w:link w:val="Titel"/>
    <w:uiPriority w:val="10"/>
    <w:rsid w:val="001C71E0"/>
    <w:rPr>
      <w:rFonts w:eastAsiaTheme="majorEastAsia" w:cstheme="majorBidi"/>
      <w:b/>
      <w:color w:val="0D0D0D" w:themeColor="text1" w:themeTint="F2"/>
      <w:spacing w:val="5"/>
      <w:kern w:val="28"/>
      <w:sz w:val="52"/>
      <w:szCs w:val="52"/>
    </w:rPr>
  </w:style>
  <w:style w:type="paragraph" w:styleId="Ondertitel">
    <w:name w:val="Subtitle"/>
    <w:basedOn w:val="Standaard"/>
    <w:next w:val="Standaard"/>
    <w:link w:val="OndertitelChar"/>
    <w:uiPriority w:val="11"/>
    <w:qFormat/>
    <w:rsid w:val="001C71E0"/>
    <w:pPr>
      <w:numPr>
        <w:ilvl w:val="1"/>
      </w:numPr>
    </w:pPr>
    <w:rPr>
      <w:rFonts w:eastAsiaTheme="majorEastAsia" w:cstheme="majorBidi"/>
      <w:i/>
      <w:iCs/>
      <w:color w:val="595959" w:themeColor="text1" w:themeTint="A6"/>
      <w:spacing w:val="15"/>
      <w:sz w:val="24"/>
      <w:szCs w:val="24"/>
    </w:rPr>
  </w:style>
  <w:style w:type="character" w:customStyle="1" w:styleId="OndertitelChar">
    <w:name w:val="Ondertitel Char"/>
    <w:basedOn w:val="Standaardalinea-lettertype"/>
    <w:link w:val="Ondertitel"/>
    <w:uiPriority w:val="11"/>
    <w:rsid w:val="001C71E0"/>
    <w:rPr>
      <w:rFonts w:eastAsiaTheme="majorEastAsia" w:cstheme="majorBidi"/>
      <w:i/>
      <w:iCs/>
      <w:color w:val="595959" w:themeColor="text1" w:themeTint="A6"/>
      <w:spacing w:val="15"/>
      <w:sz w:val="24"/>
      <w:szCs w:val="24"/>
    </w:rPr>
  </w:style>
  <w:style w:type="character" w:styleId="Intensievebenadrukking">
    <w:name w:val="Intense Emphasis"/>
    <w:basedOn w:val="Standaardalinea-lettertype"/>
    <w:uiPriority w:val="21"/>
    <w:qFormat/>
    <w:rsid w:val="001C71E0"/>
    <w:rPr>
      <w:b/>
      <w:bCs/>
      <w:i/>
      <w:iCs/>
      <w:color w:val="595959" w:themeColor="text1" w:themeTint="A6"/>
    </w:rPr>
  </w:style>
  <w:style w:type="character" w:customStyle="1" w:styleId="Kop3Char">
    <w:name w:val="Kop 3 Char"/>
    <w:basedOn w:val="Standaardalinea-lettertype"/>
    <w:link w:val="Kop3"/>
    <w:uiPriority w:val="9"/>
    <w:rsid w:val="001C71E0"/>
    <w:rPr>
      <w:rFonts w:asciiTheme="majorHAnsi" w:eastAsiaTheme="majorEastAsia" w:hAnsiTheme="majorHAnsi" w:cstheme="majorBidi"/>
      <w:b/>
      <w:bCs/>
      <w:color w:val="404040" w:themeColor="text1" w:themeTint="BF"/>
    </w:rPr>
  </w:style>
  <w:style w:type="character" w:customStyle="1" w:styleId="Kop4Char">
    <w:name w:val="Kop 4 Char"/>
    <w:basedOn w:val="Standaardalinea-lettertype"/>
    <w:link w:val="Kop4"/>
    <w:uiPriority w:val="9"/>
    <w:rsid w:val="001C71E0"/>
    <w:rPr>
      <w:rFonts w:asciiTheme="majorHAnsi" w:eastAsiaTheme="majorEastAsia" w:hAnsiTheme="majorHAnsi" w:cstheme="majorBidi"/>
      <w:b/>
      <w:bCs/>
      <w:i/>
      <w:iCs/>
      <w:color w:val="595959" w:themeColor="text1" w:themeTint="A6"/>
    </w:rPr>
  </w:style>
  <w:style w:type="character" w:styleId="Nadruk">
    <w:name w:val="Emphasis"/>
    <w:basedOn w:val="Standaardalinea-lettertype"/>
    <w:uiPriority w:val="20"/>
    <w:qFormat/>
    <w:rsid w:val="001C71E0"/>
    <w:rPr>
      <w:i/>
      <w:iCs/>
    </w:rPr>
  </w:style>
  <w:style w:type="paragraph" w:styleId="Citaat">
    <w:name w:val="Quote"/>
    <w:basedOn w:val="Standaard"/>
    <w:next w:val="Standaard"/>
    <w:link w:val="CitaatChar"/>
    <w:uiPriority w:val="29"/>
    <w:qFormat/>
    <w:rsid w:val="001C71E0"/>
    <w:rPr>
      <w:i/>
      <w:iCs/>
      <w:color w:val="000000" w:themeColor="text1"/>
    </w:rPr>
  </w:style>
  <w:style w:type="character" w:customStyle="1" w:styleId="CitaatChar">
    <w:name w:val="Citaat Char"/>
    <w:basedOn w:val="Standaardalinea-lettertype"/>
    <w:link w:val="Citaat"/>
    <w:uiPriority w:val="29"/>
    <w:rsid w:val="001C71E0"/>
    <w:rPr>
      <w:i/>
      <w:iCs/>
      <w:color w:val="000000" w:themeColor="text1"/>
    </w:rPr>
  </w:style>
  <w:style w:type="paragraph" w:styleId="Kopvaninhoudsopgave">
    <w:name w:val="TOC Heading"/>
    <w:basedOn w:val="Kop1"/>
    <w:next w:val="Standaard"/>
    <w:uiPriority w:val="39"/>
    <w:unhideWhenUsed/>
    <w:qFormat/>
    <w:rsid w:val="001C71E0"/>
    <w:pPr>
      <w:outlineLvl w:val="9"/>
    </w:pPr>
    <w:rPr>
      <w:rFonts w:asciiTheme="majorHAnsi" w:hAnsiTheme="majorHAnsi"/>
      <w:color w:val="365F91" w:themeColor="accent1" w:themeShade="BF"/>
      <w:lang w:val="en-US" w:eastAsia="ja-JP"/>
    </w:rPr>
  </w:style>
  <w:style w:type="paragraph" w:styleId="Inhopg1">
    <w:name w:val="toc 1"/>
    <w:basedOn w:val="Standaard"/>
    <w:next w:val="Standaard"/>
    <w:autoRedefine/>
    <w:uiPriority w:val="39"/>
    <w:unhideWhenUsed/>
    <w:rsid w:val="001573DB"/>
    <w:pPr>
      <w:tabs>
        <w:tab w:val="right" w:leader="dot" w:pos="6946"/>
      </w:tabs>
      <w:spacing w:after="100"/>
    </w:pPr>
  </w:style>
  <w:style w:type="character" w:styleId="Hyperlink">
    <w:name w:val="Hyperlink"/>
    <w:basedOn w:val="Standaardalinea-lettertype"/>
    <w:uiPriority w:val="99"/>
    <w:unhideWhenUsed/>
    <w:rsid w:val="00CA3E8A"/>
    <w:rPr>
      <w:color w:val="0000FF" w:themeColor="hyperlink"/>
      <w:u w:val="single"/>
    </w:rPr>
  </w:style>
  <w:style w:type="paragraph" w:styleId="Geenafstand">
    <w:name w:val="No Spacing"/>
    <w:uiPriority w:val="1"/>
    <w:qFormat/>
    <w:rsid w:val="001573DB"/>
    <w:pPr>
      <w:spacing w:after="0" w:line="240" w:lineRule="auto"/>
    </w:pPr>
  </w:style>
  <w:style w:type="paragraph" w:styleId="Lijstalinea">
    <w:name w:val="List Paragraph"/>
    <w:basedOn w:val="Standaard"/>
    <w:uiPriority w:val="34"/>
    <w:qFormat/>
    <w:rsid w:val="00C37318"/>
    <w:pPr>
      <w:ind w:left="720"/>
      <w:contextualSpacing/>
    </w:pPr>
  </w:style>
  <w:style w:type="paragraph" w:styleId="Eindnoottekst">
    <w:name w:val="endnote text"/>
    <w:basedOn w:val="Standaard"/>
    <w:link w:val="EindnoottekstChar"/>
    <w:uiPriority w:val="99"/>
    <w:semiHidden/>
    <w:unhideWhenUsed/>
    <w:rsid w:val="005E144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E144D"/>
    <w:rPr>
      <w:sz w:val="20"/>
      <w:szCs w:val="20"/>
    </w:rPr>
  </w:style>
  <w:style w:type="character" w:styleId="Eindnootmarkering">
    <w:name w:val="endnote reference"/>
    <w:basedOn w:val="Standaardalinea-lettertype"/>
    <w:uiPriority w:val="99"/>
    <w:semiHidden/>
    <w:unhideWhenUsed/>
    <w:rsid w:val="005E144D"/>
    <w:rPr>
      <w:vertAlign w:val="superscript"/>
    </w:rPr>
  </w:style>
  <w:style w:type="paragraph" w:styleId="Voetnoottekst">
    <w:name w:val="footnote text"/>
    <w:basedOn w:val="Standaard"/>
    <w:link w:val="VoetnoottekstChar"/>
    <w:uiPriority w:val="99"/>
    <w:unhideWhenUsed/>
    <w:rsid w:val="005E144D"/>
    <w:pPr>
      <w:spacing w:after="0" w:line="240" w:lineRule="auto"/>
    </w:pPr>
    <w:rPr>
      <w:sz w:val="20"/>
      <w:szCs w:val="20"/>
    </w:rPr>
  </w:style>
  <w:style w:type="character" w:customStyle="1" w:styleId="VoetnoottekstChar">
    <w:name w:val="Voetnoottekst Char"/>
    <w:basedOn w:val="Standaardalinea-lettertype"/>
    <w:link w:val="Voetnoottekst"/>
    <w:uiPriority w:val="99"/>
    <w:rsid w:val="005E144D"/>
    <w:rPr>
      <w:sz w:val="20"/>
      <w:szCs w:val="20"/>
    </w:rPr>
  </w:style>
  <w:style w:type="character" w:styleId="Voetnootmarkering">
    <w:name w:val="footnote reference"/>
    <w:basedOn w:val="Standaardalinea-lettertype"/>
    <w:uiPriority w:val="99"/>
    <w:semiHidden/>
    <w:unhideWhenUsed/>
    <w:rsid w:val="005E144D"/>
    <w:rPr>
      <w:vertAlign w:val="superscript"/>
    </w:rPr>
  </w:style>
  <w:style w:type="paragraph" w:customStyle="1" w:styleId="Default">
    <w:name w:val="Default"/>
    <w:rsid w:val="003F7D00"/>
    <w:pPr>
      <w:autoSpaceDE w:val="0"/>
      <w:autoSpaceDN w:val="0"/>
      <w:adjustRightInd w:val="0"/>
      <w:spacing w:after="0" w:line="240" w:lineRule="auto"/>
    </w:pPr>
    <w:rPr>
      <w:rFonts w:ascii="Arial" w:hAnsi="Arial" w:cs="Arial"/>
      <w:color w:val="000000"/>
      <w:sz w:val="24"/>
      <w:szCs w:val="24"/>
      <w:lang w:val="en-GB"/>
    </w:rPr>
  </w:style>
  <w:style w:type="paragraph" w:customStyle="1" w:styleId="Body">
    <w:name w:val="Body"/>
    <w:basedOn w:val="Standaard"/>
    <w:rsid w:val="000628E2"/>
    <w:pPr>
      <w:spacing w:after="0" w:line="300" w:lineRule="exact"/>
    </w:pPr>
    <w:rPr>
      <w:rFonts w:ascii="Times New Roman" w:eastAsia="Times New Roman" w:hAnsi="Times New Roman" w:cs="Times New Roman"/>
      <w:szCs w:val="20"/>
      <w:lang w:eastAsia="nl-NL"/>
    </w:rPr>
  </w:style>
  <w:style w:type="paragraph" w:styleId="Normaalweb">
    <w:name w:val="Normal (Web)"/>
    <w:basedOn w:val="Standaard"/>
    <w:unhideWhenUsed/>
    <w:rsid w:val="00E61670"/>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C71E0"/>
    <w:pPr>
      <w:keepNext/>
      <w:keepLines/>
      <w:spacing w:before="480" w:after="0"/>
      <w:outlineLvl w:val="0"/>
    </w:pPr>
    <w:rPr>
      <w:rFonts w:eastAsiaTheme="majorEastAsia" w:cstheme="majorBidi"/>
      <w:b/>
      <w:bCs/>
      <w:color w:val="262626" w:themeColor="text1" w:themeTint="D9"/>
      <w:sz w:val="28"/>
      <w:szCs w:val="28"/>
    </w:rPr>
  </w:style>
  <w:style w:type="paragraph" w:styleId="Kop2">
    <w:name w:val="heading 2"/>
    <w:basedOn w:val="Standaard"/>
    <w:next w:val="Standaard"/>
    <w:link w:val="Kop2Char"/>
    <w:uiPriority w:val="9"/>
    <w:unhideWhenUsed/>
    <w:qFormat/>
    <w:rsid w:val="001C71E0"/>
    <w:pPr>
      <w:keepNext/>
      <w:keepLines/>
      <w:spacing w:before="200" w:after="0"/>
      <w:outlineLvl w:val="1"/>
    </w:pPr>
    <w:rPr>
      <w:rFonts w:eastAsiaTheme="majorEastAsia" w:cstheme="majorBidi"/>
      <w:b/>
      <w:bCs/>
      <w:color w:val="404040" w:themeColor="text1" w:themeTint="BF"/>
      <w:sz w:val="26"/>
      <w:szCs w:val="26"/>
    </w:rPr>
  </w:style>
  <w:style w:type="paragraph" w:styleId="Kop3">
    <w:name w:val="heading 3"/>
    <w:basedOn w:val="Standaard"/>
    <w:next w:val="Standaard"/>
    <w:link w:val="Kop3Char"/>
    <w:uiPriority w:val="9"/>
    <w:unhideWhenUsed/>
    <w:qFormat/>
    <w:rsid w:val="001C71E0"/>
    <w:pPr>
      <w:keepNext/>
      <w:keepLines/>
      <w:spacing w:before="200" w:after="0"/>
      <w:outlineLvl w:val="2"/>
    </w:pPr>
    <w:rPr>
      <w:rFonts w:asciiTheme="majorHAnsi" w:eastAsiaTheme="majorEastAsia" w:hAnsiTheme="majorHAnsi" w:cstheme="majorBidi"/>
      <w:b/>
      <w:bCs/>
      <w:color w:val="404040" w:themeColor="text1" w:themeTint="BF"/>
    </w:rPr>
  </w:style>
  <w:style w:type="paragraph" w:styleId="Kop4">
    <w:name w:val="heading 4"/>
    <w:basedOn w:val="Standaard"/>
    <w:next w:val="Standaard"/>
    <w:link w:val="Kop4Char"/>
    <w:uiPriority w:val="9"/>
    <w:unhideWhenUsed/>
    <w:qFormat/>
    <w:rsid w:val="001C71E0"/>
    <w:pPr>
      <w:keepNext/>
      <w:keepLines/>
      <w:spacing w:before="200" w:after="0"/>
      <w:outlineLvl w:val="3"/>
    </w:pPr>
    <w:rPr>
      <w:rFonts w:asciiTheme="majorHAnsi" w:eastAsiaTheme="majorEastAsia" w:hAnsiTheme="majorHAnsi" w:cstheme="majorBidi"/>
      <w:b/>
      <w:bCs/>
      <w:i/>
      <w:iC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1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7C2"/>
    <w:rPr>
      <w:rFonts w:ascii="Tahoma" w:hAnsi="Tahoma" w:cs="Tahoma"/>
      <w:sz w:val="16"/>
      <w:szCs w:val="16"/>
    </w:rPr>
  </w:style>
  <w:style w:type="paragraph" w:styleId="Koptekst">
    <w:name w:val="header"/>
    <w:basedOn w:val="Standaard"/>
    <w:link w:val="KoptekstChar"/>
    <w:uiPriority w:val="99"/>
    <w:unhideWhenUsed/>
    <w:rsid w:val="00DD5C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C6C"/>
  </w:style>
  <w:style w:type="paragraph" w:styleId="Voettekst">
    <w:name w:val="footer"/>
    <w:basedOn w:val="Standaard"/>
    <w:link w:val="VoettekstChar"/>
    <w:uiPriority w:val="99"/>
    <w:unhideWhenUsed/>
    <w:rsid w:val="00DD5C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C6C"/>
  </w:style>
  <w:style w:type="character" w:customStyle="1" w:styleId="Kop1Char">
    <w:name w:val="Kop 1 Char"/>
    <w:basedOn w:val="Standaardalinea-lettertype"/>
    <w:link w:val="Kop1"/>
    <w:uiPriority w:val="9"/>
    <w:rsid w:val="001C71E0"/>
    <w:rPr>
      <w:rFonts w:eastAsiaTheme="majorEastAsia" w:cstheme="majorBidi"/>
      <w:b/>
      <w:bCs/>
      <w:color w:val="262626" w:themeColor="text1" w:themeTint="D9"/>
      <w:sz w:val="28"/>
      <w:szCs w:val="28"/>
    </w:rPr>
  </w:style>
  <w:style w:type="character" w:customStyle="1" w:styleId="Kop2Char">
    <w:name w:val="Kop 2 Char"/>
    <w:basedOn w:val="Standaardalinea-lettertype"/>
    <w:link w:val="Kop2"/>
    <w:uiPriority w:val="9"/>
    <w:rsid w:val="001C71E0"/>
    <w:rPr>
      <w:rFonts w:eastAsiaTheme="majorEastAsia" w:cstheme="majorBidi"/>
      <w:b/>
      <w:bCs/>
      <w:color w:val="404040" w:themeColor="text1" w:themeTint="BF"/>
      <w:sz w:val="26"/>
      <w:szCs w:val="26"/>
    </w:rPr>
  </w:style>
  <w:style w:type="paragraph" w:styleId="Titel">
    <w:name w:val="Title"/>
    <w:basedOn w:val="Standaard"/>
    <w:next w:val="Standaard"/>
    <w:link w:val="TitelChar"/>
    <w:uiPriority w:val="10"/>
    <w:qFormat/>
    <w:rsid w:val="001C71E0"/>
    <w:pPr>
      <w:pBdr>
        <w:bottom w:val="single" w:sz="8" w:space="4" w:color="4F81BD" w:themeColor="accent1"/>
      </w:pBdr>
      <w:spacing w:after="300" w:line="240" w:lineRule="auto"/>
      <w:contextualSpacing/>
    </w:pPr>
    <w:rPr>
      <w:rFonts w:eastAsiaTheme="majorEastAsia" w:cstheme="majorBidi"/>
      <w:b/>
      <w:color w:val="0D0D0D" w:themeColor="text1" w:themeTint="F2"/>
      <w:spacing w:val="5"/>
      <w:kern w:val="28"/>
      <w:sz w:val="52"/>
      <w:szCs w:val="52"/>
    </w:rPr>
  </w:style>
  <w:style w:type="character" w:customStyle="1" w:styleId="TitelChar">
    <w:name w:val="Titel Char"/>
    <w:basedOn w:val="Standaardalinea-lettertype"/>
    <w:link w:val="Titel"/>
    <w:uiPriority w:val="10"/>
    <w:rsid w:val="001C71E0"/>
    <w:rPr>
      <w:rFonts w:eastAsiaTheme="majorEastAsia" w:cstheme="majorBidi"/>
      <w:b/>
      <w:color w:val="0D0D0D" w:themeColor="text1" w:themeTint="F2"/>
      <w:spacing w:val="5"/>
      <w:kern w:val="28"/>
      <w:sz w:val="52"/>
      <w:szCs w:val="52"/>
    </w:rPr>
  </w:style>
  <w:style w:type="paragraph" w:styleId="Ondertitel">
    <w:name w:val="Subtitle"/>
    <w:basedOn w:val="Standaard"/>
    <w:next w:val="Standaard"/>
    <w:link w:val="OndertitelChar"/>
    <w:uiPriority w:val="11"/>
    <w:qFormat/>
    <w:rsid w:val="001C71E0"/>
    <w:pPr>
      <w:numPr>
        <w:ilvl w:val="1"/>
      </w:numPr>
    </w:pPr>
    <w:rPr>
      <w:rFonts w:eastAsiaTheme="majorEastAsia" w:cstheme="majorBidi"/>
      <w:i/>
      <w:iCs/>
      <w:color w:val="595959" w:themeColor="text1" w:themeTint="A6"/>
      <w:spacing w:val="15"/>
      <w:sz w:val="24"/>
      <w:szCs w:val="24"/>
    </w:rPr>
  </w:style>
  <w:style w:type="character" w:customStyle="1" w:styleId="OndertitelChar">
    <w:name w:val="Ondertitel Char"/>
    <w:basedOn w:val="Standaardalinea-lettertype"/>
    <w:link w:val="Ondertitel"/>
    <w:uiPriority w:val="11"/>
    <w:rsid w:val="001C71E0"/>
    <w:rPr>
      <w:rFonts w:eastAsiaTheme="majorEastAsia" w:cstheme="majorBidi"/>
      <w:i/>
      <w:iCs/>
      <w:color w:val="595959" w:themeColor="text1" w:themeTint="A6"/>
      <w:spacing w:val="15"/>
      <w:sz w:val="24"/>
      <w:szCs w:val="24"/>
    </w:rPr>
  </w:style>
  <w:style w:type="character" w:styleId="Intensievebenadrukking">
    <w:name w:val="Intense Emphasis"/>
    <w:basedOn w:val="Standaardalinea-lettertype"/>
    <w:uiPriority w:val="21"/>
    <w:qFormat/>
    <w:rsid w:val="001C71E0"/>
    <w:rPr>
      <w:b/>
      <w:bCs/>
      <w:i/>
      <w:iCs/>
      <w:color w:val="595959" w:themeColor="text1" w:themeTint="A6"/>
    </w:rPr>
  </w:style>
  <w:style w:type="character" w:customStyle="1" w:styleId="Kop3Char">
    <w:name w:val="Kop 3 Char"/>
    <w:basedOn w:val="Standaardalinea-lettertype"/>
    <w:link w:val="Kop3"/>
    <w:uiPriority w:val="9"/>
    <w:rsid w:val="001C71E0"/>
    <w:rPr>
      <w:rFonts w:asciiTheme="majorHAnsi" w:eastAsiaTheme="majorEastAsia" w:hAnsiTheme="majorHAnsi" w:cstheme="majorBidi"/>
      <w:b/>
      <w:bCs/>
      <w:color w:val="404040" w:themeColor="text1" w:themeTint="BF"/>
    </w:rPr>
  </w:style>
  <w:style w:type="character" w:customStyle="1" w:styleId="Kop4Char">
    <w:name w:val="Kop 4 Char"/>
    <w:basedOn w:val="Standaardalinea-lettertype"/>
    <w:link w:val="Kop4"/>
    <w:uiPriority w:val="9"/>
    <w:rsid w:val="001C71E0"/>
    <w:rPr>
      <w:rFonts w:asciiTheme="majorHAnsi" w:eastAsiaTheme="majorEastAsia" w:hAnsiTheme="majorHAnsi" w:cstheme="majorBidi"/>
      <w:b/>
      <w:bCs/>
      <w:i/>
      <w:iCs/>
      <w:color w:val="595959" w:themeColor="text1" w:themeTint="A6"/>
    </w:rPr>
  </w:style>
  <w:style w:type="character" w:styleId="Nadruk">
    <w:name w:val="Emphasis"/>
    <w:basedOn w:val="Standaardalinea-lettertype"/>
    <w:uiPriority w:val="20"/>
    <w:qFormat/>
    <w:rsid w:val="001C71E0"/>
    <w:rPr>
      <w:i/>
      <w:iCs/>
    </w:rPr>
  </w:style>
  <w:style w:type="paragraph" w:styleId="Citaat">
    <w:name w:val="Quote"/>
    <w:basedOn w:val="Standaard"/>
    <w:next w:val="Standaard"/>
    <w:link w:val="CitaatChar"/>
    <w:uiPriority w:val="29"/>
    <w:qFormat/>
    <w:rsid w:val="001C71E0"/>
    <w:rPr>
      <w:i/>
      <w:iCs/>
      <w:color w:val="000000" w:themeColor="text1"/>
    </w:rPr>
  </w:style>
  <w:style w:type="character" w:customStyle="1" w:styleId="CitaatChar">
    <w:name w:val="Citaat Char"/>
    <w:basedOn w:val="Standaardalinea-lettertype"/>
    <w:link w:val="Citaat"/>
    <w:uiPriority w:val="29"/>
    <w:rsid w:val="001C71E0"/>
    <w:rPr>
      <w:i/>
      <w:iCs/>
      <w:color w:val="000000" w:themeColor="text1"/>
    </w:rPr>
  </w:style>
  <w:style w:type="paragraph" w:styleId="Kopvaninhoudsopgave">
    <w:name w:val="TOC Heading"/>
    <w:basedOn w:val="Kop1"/>
    <w:next w:val="Standaard"/>
    <w:uiPriority w:val="39"/>
    <w:unhideWhenUsed/>
    <w:qFormat/>
    <w:rsid w:val="001C71E0"/>
    <w:pPr>
      <w:outlineLvl w:val="9"/>
    </w:pPr>
    <w:rPr>
      <w:rFonts w:asciiTheme="majorHAnsi" w:hAnsiTheme="majorHAnsi"/>
      <w:color w:val="365F91" w:themeColor="accent1" w:themeShade="BF"/>
      <w:lang w:val="en-US" w:eastAsia="ja-JP"/>
    </w:rPr>
  </w:style>
  <w:style w:type="paragraph" w:styleId="Inhopg1">
    <w:name w:val="toc 1"/>
    <w:basedOn w:val="Standaard"/>
    <w:next w:val="Standaard"/>
    <w:autoRedefine/>
    <w:uiPriority w:val="39"/>
    <w:unhideWhenUsed/>
    <w:rsid w:val="001573DB"/>
    <w:pPr>
      <w:tabs>
        <w:tab w:val="right" w:leader="dot" w:pos="6946"/>
      </w:tabs>
      <w:spacing w:after="100"/>
    </w:pPr>
  </w:style>
  <w:style w:type="character" w:styleId="Hyperlink">
    <w:name w:val="Hyperlink"/>
    <w:basedOn w:val="Standaardalinea-lettertype"/>
    <w:uiPriority w:val="99"/>
    <w:unhideWhenUsed/>
    <w:rsid w:val="00CA3E8A"/>
    <w:rPr>
      <w:color w:val="0000FF" w:themeColor="hyperlink"/>
      <w:u w:val="single"/>
    </w:rPr>
  </w:style>
  <w:style w:type="paragraph" w:styleId="Geenafstand">
    <w:name w:val="No Spacing"/>
    <w:uiPriority w:val="1"/>
    <w:qFormat/>
    <w:rsid w:val="001573DB"/>
    <w:pPr>
      <w:spacing w:after="0" w:line="240" w:lineRule="auto"/>
    </w:pPr>
  </w:style>
  <w:style w:type="paragraph" w:styleId="Lijstalinea">
    <w:name w:val="List Paragraph"/>
    <w:basedOn w:val="Standaard"/>
    <w:uiPriority w:val="34"/>
    <w:qFormat/>
    <w:rsid w:val="00C37318"/>
    <w:pPr>
      <w:ind w:left="720"/>
      <w:contextualSpacing/>
    </w:pPr>
  </w:style>
  <w:style w:type="paragraph" w:styleId="Eindnoottekst">
    <w:name w:val="endnote text"/>
    <w:basedOn w:val="Standaard"/>
    <w:link w:val="EindnoottekstChar"/>
    <w:uiPriority w:val="99"/>
    <w:semiHidden/>
    <w:unhideWhenUsed/>
    <w:rsid w:val="005E144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E144D"/>
    <w:rPr>
      <w:sz w:val="20"/>
      <w:szCs w:val="20"/>
    </w:rPr>
  </w:style>
  <w:style w:type="character" w:styleId="Eindnootmarkering">
    <w:name w:val="endnote reference"/>
    <w:basedOn w:val="Standaardalinea-lettertype"/>
    <w:uiPriority w:val="99"/>
    <w:semiHidden/>
    <w:unhideWhenUsed/>
    <w:rsid w:val="005E144D"/>
    <w:rPr>
      <w:vertAlign w:val="superscript"/>
    </w:rPr>
  </w:style>
  <w:style w:type="paragraph" w:styleId="Voetnoottekst">
    <w:name w:val="footnote text"/>
    <w:basedOn w:val="Standaard"/>
    <w:link w:val="VoetnoottekstChar"/>
    <w:uiPriority w:val="99"/>
    <w:unhideWhenUsed/>
    <w:rsid w:val="005E144D"/>
    <w:pPr>
      <w:spacing w:after="0" w:line="240" w:lineRule="auto"/>
    </w:pPr>
    <w:rPr>
      <w:sz w:val="20"/>
      <w:szCs w:val="20"/>
    </w:rPr>
  </w:style>
  <w:style w:type="character" w:customStyle="1" w:styleId="VoetnoottekstChar">
    <w:name w:val="Voetnoottekst Char"/>
    <w:basedOn w:val="Standaardalinea-lettertype"/>
    <w:link w:val="Voetnoottekst"/>
    <w:uiPriority w:val="99"/>
    <w:rsid w:val="005E144D"/>
    <w:rPr>
      <w:sz w:val="20"/>
      <w:szCs w:val="20"/>
    </w:rPr>
  </w:style>
  <w:style w:type="character" w:styleId="Voetnootmarkering">
    <w:name w:val="footnote reference"/>
    <w:basedOn w:val="Standaardalinea-lettertype"/>
    <w:uiPriority w:val="99"/>
    <w:semiHidden/>
    <w:unhideWhenUsed/>
    <w:rsid w:val="005E144D"/>
    <w:rPr>
      <w:vertAlign w:val="superscript"/>
    </w:rPr>
  </w:style>
  <w:style w:type="paragraph" w:customStyle="1" w:styleId="Default">
    <w:name w:val="Default"/>
    <w:rsid w:val="003F7D00"/>
    <w:pPr>
      <w:autoSpaceDE w:val="0"/>
      <w:autoSpaceDN w:val="0"/>
      <w:adjustRightInd w:val="0"/>
      <w:spacing w:after="0" w:line="240" w:lineRule="auto"/>
    </w:pPr>
    <w:rPr>
      <w:rFonts w:ascii="Arial" w:hAnsi="Arial" w:cs="Arial"/>
      <w:color w:val="000000"/>
      <w:sz w:val="24"/>
      <w:szCs w:val="24"/>
      <w:lang w:val="en-GB"/>
    </w:rPr>
  </w:style>
  <w:style w:type="paragraph" w:customStyle="1" w:styleId="Body">
    <w:name w:val="Body"/>
    <w:basedOn w:val="Standaard"/>
    <w:rsid w:val="000628E2"/>
    <w:pPr>
      <w:spacing w:after="0" w:line="300" w:lineRule="exact"/>
    </w:pPr>
    <w:rPr>
      <w:rFonts w:ascii="Times New Roman" w:eastAsia="Times New Roman" w:hAnsi="Times New Roman" w:cs="Times New Roman"/>
      <w:szCs w:val="20"/>
      <w:lang w:eastAsia="nl-NL"/>
    </w:rPr>
  </w:style>
  <w:style w:type="paragraph" w:styleId="Normaalweb">
    <w:name w:val="Normal (Web)"/>
    <w:basedOn w:val="Standaard"/>
    <w:unhideWhenUsed/>
    <w:rsid w:val="00E61670"/>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2527">
      <w:bodyDiv w:val="1"/>
      <w:marLeft w:val="0"/>
      <w:marRight w:val="0"/>
      <w:marTop w:val="0"/>
      <w:marBottom w:val="0"/>
      <w:divBdr>
        <w:top w:val="none" w:sz="0" w:space="0" w:color="auto"/>
        <w:left w:val="none" w:sz="0" w:space="0" w:color="auto"/>
        <w:bottom w:val="none" w:sz="0" w:space="0" w:color="auto"/>
        <w:right w:val="none" w:sz="0" w:space="0" w:color="auto"/>
      </w:divBdr>
    </w:div>
    <w:div w:id="306012733">
      <w:bodyDiv w:val="1"/>
      <w:marLeft w:val="0"/>
      <w:marRight w:val="0"/>
      <w:marTop w:val="0"/>
      <w:marBottom w:val="0"/>
      <w:divBdr>
        <w:top w:val="none" w:sz="0" w:space="0" w:color="auto"/>
        <w:left w:val="none" w:sz="0" w:space="0" w:color="auto"/>
        <w:bottom w:val="none" w:sz="0" w:space="0" w:color="auto"/>
        <w:right w:val="none" w:sz="0" w:space="0" w:color="auto"/>
      </w:divBdr>
    </w:div>
    <w:div w:id="1276522961">
      <w:bodyDiv w:val="1"/>
      <w:marLeft w:val="0"/>
      <w:marRight w:val="0"/>
      <w:marTop w:val="0"/>
      <w:marBottom w:val="0"/>
      <w:divBdr>
        <w:top w:val="none" w:sz="0" w:space="0" w:color="auto"/>
        <w:left w:val="none" w:sz="0" w:space="0" w:color="auto"/>
        <w:bottom w:val="none" w:sz="0" w:space="0" w:color="auto"/>
        <w:right w:val="none" w:sz="0" w:space="0" w:color="auto"/>
      </w:divBdr>
    </w:div>
    <w:div w:id="17861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cb.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cb.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3F61-AAA3-4470-8C36-BF9E17F2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4264</Words>
  <Characters>24307</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NIBC Bank N.V.</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Besuijen</dc:creator>
  <cp:lastModifiedBy>Jac Besuijen</cp:lastModifiedBy>
  <cp:revision>2</cp:revision>
  <cp:lastPrinted>2014-12-04T09:29:00Z</cp:lastPrinted>
  <dcterms:created xsi:type="dcterms:W3CDTF">2015-03-11T08:41:00Z</dcterms:created>
  <dcterms:modified xsi:type="dcterms:W3CDTF">2015-03-11T08:41:00Z</dcterms:modified>
  <cp:contentStatus>Final</cp:contentStatus>
</cp:coreProperties>
</file>